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b/>
          <w:bCs/>
          <w:sz w:val="32"/>
          <w:szCs w:val="36"/>
        </w:rPr>
      </w:pPr>
      <w:r>
        <w:rPr>
          <w:rFonts w:hint="eastAsia" w:ascii="宋体" w:hAnsi="宋体" w:eastAsia="宋体"/>
          <w:b/>
          <w:bCs/>
          <w:sz w:val="32"/>
          <w:szCs w:val="36"/>
        </w:rPr>
        <w:t>上海恩可埃认证有限公司</w:t>
      </w:r>
    </w:p>
    <w:p>
      <w:pPr>
        <w:spacing w:line="360" w:lineRule="auto"/>
        <w:jc w:val="center"/>
        <w:rPr>
          <w:rFonts w:hint="eastAsia" w:ascii="宋体" w:hAnsi="宋体" w:eastAsia="宋体"/>
          <w:b/>
          <w:bCs/>
          <w:sz w:val="32"/>
          <w:szCs w:val="36"/>
        </w:rPr>
      </w:pPr>
      <w:r>
        <w:rPr>
          <w:rFonts w:hint="eastAsia" w:ascii="宋体" w:hAnsi="宋体" w:eastAsia="宋体"/>
          <w:b/>
          <w:bCs/>
          <w:sz w:val="32"/>
          <w:szCs w:val="36"/>
        </w:rPr>
        <w:t>关于开展认证业务的声明</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我们已充分理解依法开展认证业务以及公正性、反贪污反贿赂行为在实施各种认证活动中的重要性，我们对在第三方合格评定活动中可能存在的合法性、利益、责任问题、公正性、受贿或行贿行为、风险进行了充分识别和分析，并采取了风险管理措施 对利益冲突加以管理。</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根据国内、外认证认可的相关要求，为在开展第三方认证工作中确保业务活动的可信性、客观性、公正性、透明性、诚实性和非歧视性，本机构特做出如下承诺：</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严格遵守国家《中华人民共和国认证认可条例》、《认证机构管理办法》等有关管理体系认证、服务认证业务相关方面的法律、法规及标准，遵守国家行业监管机构对认证机构有关认证认可要求，依据第三方认证准则开展业务。遵守认证基本规范、规则规定的程序要求，确保认证过程完整、客观、真实，不增加、减少遗漏程序要求。</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严格遵守国家反贪污反贿赂相关的法律法规，坚决落实反贪污反贿赂行为，建立反贿赂联络处理渠道，通过报道或举报等监督信息来及时制止行贿受贿行为。严格要求公司全体工作人员都要遵守职业道德和采取“零容忍”的态度，在沟通和调查过程中对信息和举报人予以保密。</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坚持认证服务向所有申请人开放，不附加过分的财务或其它条件，不以申请人的规模或是否是某一协会或团体的成员来阻碍或作为提供认证的条件。</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审核遵循认证标准或与其职能有关的引用文件所给出的要求，当某一特定计划需对这些文件做出解释时，本机构将指定具备技术能力的人员进行规范化的解释。</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坚持不以盈利为目的的有偿服务，不以不正当的手段参与业务竞争，在与申请人交往洽谈认证业务时，只介绍本机构已被认可的业务范围和专业审核能力，不做贬低或影射其它认证机构有违职业道德的事。</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不从事认证有关咨询的活动，不向获证客户提供内部审</w:t>
      </w:r>
      <w:bookmarkStart w:id="0" w:name="_GoBack"/>
      <w:bookmarkEnd w:id="0"/>
      <w:r>
        <w:rPr>
          <w:rFonts w:hint="eastAsia" w:ascii="宋体" w:hAnsi="宋体" w:eastAsia="宋体"/>
          <w:sz w:val="24"/>
          <w:szCs w:val="24"/>
        </w:rPr>
        <w:t>核，也不与咨询 机构建立直接或间接“一条龙”协作，也不允许本机构的专/兼职审核人员从事认证咨询活动。专/兼职审核员和技术专家在与公司签订专/兼职劳动合同前，如曾向认证申请组织提供过咨询服务的，应向公司申报，并确保在二年内不得参与该申请组织的认证审核活动。</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以认证审核人/日数和费用标准洽谈合同，对申请人或申请经办人、项目介绍人等不进行商业贿赂。</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独立开展认证审核，对审核结论、陈述的评定、认证决定不受外来因素 影响，严格要求全体工作人员都要遵守职业道德，抵制不正之风，对弄虚作假、违纪、违法 的行为坚决严肃处理。</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接受认证利益相关方、社会舆论以及媒体等各方的监督，并将监督信息作为改进工作、规范认证行为的重要依据。</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不向其他认证机构及我公司的二级公司提供认证服务。</w:t>
      </w:r>
    </w:p>
    <w:p>
      <w:pPr>
        <w:pStyle w:val="8"/>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在认证活动中，与上海恩可埃认证有限公司等关联机构保持公正公开、独立客观、公平竞争的原则，确保认证工作的公正性。</w:t>
      </w:r>
    </w:p>
    <w:p>
      <w:pPr>
        <w:spacing w:line="360" w:lineRule="auto"/>
        <w:jc w:val="right"/>
        <w:rPr>
          <w:rFonts w:hint="eastAsia" w:ascii="宋体" w:hAnsi="宋体" w:eastAsia="宋体"/>
          <w:sz w:val="24"/>
          <w:szCs w:val="24"/>
        </w:rPr>
      </w:pPr>
      <w:r>
        <w:rPr>
          <w:rFonts w:hint="eastAsia" w:ascii="宋体" w:hAnsi="宋体" w:eastAsia="宋体"/>
          <w:sz w:val="24"/>
          <w:szCs w:val="24"/>
        </w:rPr>
        <w:t>上海恩可埃认证有限公司</w:t>
      </w:r>
    </w:p>
    <w:p>
      <w:pPr>
        <w:spacing w:line="360" w:lineRule="auto"/>
        <w:jc w:val="right"/>
        <w:rPr>
          <w:rFonts w:hint="eastAsia" w:ascii="宋体" w:hAnsi="宋体" w:eastAsia="宋体"/>
          <w:sz w:val="24"/>
          <w:szCs w:val="24"/>
        </w:rPr>
      </w:pPr>
      <w:r>
        <w:rPr>
          <w:rFonts w:hint="eastAsia" w:ascii="宋体" w:hAnsi="宋体" w:eastAsia="宋体"/>
          <w:sz w:val="24"/>
          <w:szCs w:val="24"/>
        </w:rPr>
        <w:t>法人代表：陶然亭</w:t>
      </w:r>
    </w:p>
    <w:p>
      <w:pPr>
        <w:spacing w:line="360" w:lineRule="auto"/>
        <w:jc w:val="right"/>
        <w:rPr>
          <w:rFonts w:hint="eastAsia" w:ascii="宋体" w:hAnsi="宋体" w:eastAsia="宋体"/>
          <w:sz w:val="24"/>
          <w:szCs w:val="24"/>
        </w:rPr>
      </w:pPr>
      <w:r>
        <w:rPr>
          <w:rFonts w:hint="eastAsia" w:ascii="宋体" w:hAnsi="宋体" w:eastAsia="宋体"/>
          <w:sz w:val="24"/>
          <w:szCs w:val="24"/>
        </w:rPr>
        <w:t>总经理：包勇伟</w:t>
      </w:r>
    </w:p>
    <w:sectPr>
      <w:headerReference r:id="rId3" w:type="default"/>
      <w:footerReference r:id="rId4" w:type="default"/>
      <w:pgSz w:w="11906" w:h="16838"/>
      <w:pgMar w:top="1440" w:right="1800" w:bottom="1440" w:left="1800" w:header="850"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宋体" w:hAnsi="宋体" w:eastAsia="宋体" w:cs="宋体"/>
        <w:sz w:val="18"/>
        <w:szCs w:val="18"/>
      </w:rPr>
    </w:pPr>
    <w:r>
      <w:rPr>
        <w:rFonts w:hint="eastAsia" w:ascii="宋体" w:hAnsi="宋体" w:eastAsia="宋体" w:cs="宋体"/>
        <w:sz w:val="18"/>
        <w:szCs w:val="18"/>
      </w:rPr>
      <w:t>编制：</w:t>
    </w:r>
    <w:r>
      <w:rPr>
        <w:rFonts w:hint="eastAsia" w:ascii="宋体" w:hAnsi="宋体" w:eastAsia="宋体" w:cs="宋体"/>
        <w:sz w:val="18"/>
        <w:szCs w:val="18"/>
        <w:lang w:val="en-US" w:eastAsia="zh-CN"/>
      </w:rPr>
      <w:t>朱滢</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审核：梁春富</w:t>
    </w:r>
    <w:r>
      <w:rPr>
        <w:rFonts w:hint="eastAsia" w:ascii="宋体" w:hAnsi="宋体" w:eastAsia="宋体" w:cs="宋体"/>
        <w:sz w:val="18"/>
        <w:szCs w:val="18"/>
      </w:rPr>
      <w:t xml:space="preserve">            批准：包勇伟            颁布日期：20</w:t>
    </w:r>
    <w:r>
      <w:rPr>
        <w:rFonts w:hint="eastAsia" w:ascii="宋体" w:hAnsi="宋体" w:eastAsia="宋体" w:cs="宋体"/>
        <w:sz w:val="18"/>
        <w:szCs w:val="18"/>
        <w:lang w:val="en-US" w:eastAsia="zh-CN"/>
      </w:rPr>
      <w:t>24</w:t>
    </w:r>
    <w:r>
      <w:rPr>
        <w:rFonts w:hint="eastAsia" w:ascii="宋体" w:hAnsi="宋体" w:eastAsia="宋体" w:cs="宋体"/>
        <w:sz w:val="18"/>
        <w:szCs w:val="18"/>
      </w:rPr>
      <w:t>-</w:t>
    </w:r>
    <w:r>
      <w:rPr>
        <w:rFonts w:hint="eastAsia" w:ascii="宋体" w:hAnsi="宋体" w:eastAsia="宋体" w:cs="宋体"/>
        <w:sz w:val="18"/>
        <w:szCs w:val="18"/>
        <w:lang w:val="en-US" w:eastAsia="zh-CN"/>
      </w:rPr>
      <w:t>11</w:t>
    </w:r>
    <w:r>
      <w:rPr>
        <w:rFonts w:hint="eastAsia" w:ascii="宋体" w:hAnsi="宋体" w:eastAsia="宋体" w:cs="宋体"/>
        <w:sz w:val="18"/>
        <w:szCs w:val="18"/>
      </w:rPr>
      <w:t>-01</w:t>
    </w:r>
  </w:p>
  <w:p>
    <w:pPr>
      <w:pStyle w:val="2"/>
      <w:jc w:val="center"/>
      <w:rPr>
        <w:rFonts w:hint="eastAsia" w:ascii="宋体" w:hAnsi="宋体" w:eastAsia="宋体" w:cs="宋体"/>
        <w:sz w:val="18"/>
        <w:szCs w:val="18"/>
        <w:lang w:val="en-US" w:eastAsia="zh-CN"/>
      </w:rPr>
    </w:pPr>
    <w:r>
      <w:rPr>
        <w:rFonts w:hint="eastAsia" w:ascii="宋体" w:hAnsi="宋体" w:eastAsia="宋体" w:cs="宋体"/>
        <w:kern w:val="0"/>
        <w:sz w:val="18"/>
        <w:szCs w:val="18"/>
      </w:rPr>
      <w:t xml:space="preserve">第 </w:t>
    </w:r>
    <w:r>
      <w:rPr>
        <w:rFonts w:hint="eastAsia" w:ascii="宋体" w:hAnsi="宋体" w:eastAsia="宋体" w:cs="宋体"/>
        <w:kern w:val="0"/>
        <w:sz w:val="18"/>
        <w:szCs w:val="18"/>
      </w:rPr>
      <w:fldChar w:fldCharType="begin"/>
    </w:r>
    <w:r>
      <w:rPr>
        <w:rFonts w:hint="eastAsia" w:ascii="宋体" w:hAnsi="宋体" w:eastAsia="宋体" w:cs="宋体"/>
        <w:kern w:val="0"/>
        <w:sz w:val="18"/>
        <w:szCs w:val="18"/>
      </w:rPr>
      <w:instrText xml:space="preserve"> PAGE </w:instrText>
    </w:r>
    <w:r>
      <w:rPr>
        <w:rFonts w:hint="eastAsia" w:ascii="宋体" w:hAnsi="宋体" w:eastAsia="宋体" w:cs="宋体"/>
        <w:kern w:val="0"/>
        <w:sz w:val="18"/>
        <w:szCs w:val="18"/>
      </w:rPr>
      <w:fldChar w:fldCharType="separate"/>
    </w:r>
    <w:r>
      <w:rPr>
        <w:rFonts w:hint="eastAsia" w:ascii="宋体" w:hAnsi="宋体" w:eastAsia="宋体" w:cs="宋体"/>
        <w:kern w:val="0"/>
        <w:sz w:val="18"/>
        <w:szCs w:val="18"/>
      </w:rPr>
      <w:t>3</w:t>
    </w:r>
    <w:r>
      <w:rPr>
        <w:rFonts w:hint="eastAsia" w:ascii="宋体" w:hAnsi="宋体" w:eastAsia="宋体" w:cs="宋体"/>
        <w:kern w:val="0"/>
        <w:sz w:val="18"/>
        <w:szCs w:val="18"/>
      </w:rPr>
      <w:fldChar w:fldCharType="end"/>
    </w:r>
    <w:r>
      <w:rPr>
        <w:rFonts w:hint="eastAsia" w:ascii="宋体" w:hAnsi="宋体" w:eastAsia="宋体" w:cs="宋体"/>
        <w:kern w:val="0"/>
        <w:sz w:val="18"/>
        <w:szCs w:val="18"/>
      </w:rPr>
      <w:t xml:space="preserve"> 页 共 </w:t>
    </w:r>
    <w:r>
      <w:rPr>
        <w:rFonts w:hint="eastAsia" w:ascii="宋体" w:hAnsi="宋体" w:eastAsia="宋体" w:cs="宋体"/>
        <w:kern w:val="0"/>
        <w:sz w:val="18"/>
        <w:szCs w:val="18"/>
      </w:rPr>
      <w:fldChar w:fldCharType="begin"/>
    </w:r>
    <w:r>
      <w:rPr>
        <w:rFonts w:hint="eastAsia" w:ascii="宋体" w:hAnsi="宋体" w:eastAsia="宋体" w:cs="宋体"/>
        <w:kern w:val="0"/>
        <w:sz w:val="18"/>
        <w:szCs w:val="18"/>
      </w:rPr>
      <w:instrText xml:space="preserve"> NUMPAGES </w:instrText>
    </w:r>
    <w:r>
      <w:rPr>
        <w:rFonts w:hint="eastAsia" w:ascii="宋体" w:hAnsi="宋体" w:eastAsia="宋体" w:cs="宋体"/>
        <w:kern w:val="0"/>
        <w:sz w:val="18"/>
        <w:szCs w:val="18"/>
      </w:rPr>
      <w:fldChar w:fldCharType="separate"/>
    </w:r>
    <w:r>
      <w:rPr>
        <w:rFonts w:hint="eastAsia" w:ascii="宋体" w:hAnsi="宋体" w:eastAsia="宋体" w:cs="宋体"/>
        <w:kern w:val="0"/>
        <w:sz w:val="18"/>
        <w:szCs w:val="18"/>
      </w:rPr>
      <w:t>11</w:t>
    </w:r>
    <w:r>
      <w:rPr>
        <w:rFonts w:hint="eastAsia" w:ascii="宋体" w:hAnsi="宋体" w:eastAsia="宋体" w:cs="宋体"/>
        <w:kern w:val="0"/>
        <w:sz w:val="18"/>
        <w:szCs w:val="18"/>
      </w:rPr>
      <w:fldChar w:fldCharType="end"/>
    </w:r>
    <w:r>
      <w:rPr>
        <w:rFonts w:hint="eastAsia" w:ascii="宋体" w:hAnsi="宋体" w:eastAsia="宋体" w:cs="宋体"/>
        <w:kern w:val="0"/>
        <w:sz w:val="18"/>
        <w:szCs w:val="18"/>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9660"/>
      </w:tabs>
      <w:wordWrap w:val="0"/>
      <w:ind w:right="-22"/>
      <w:jc w:val="both"/>
      <w:rPr>
        <w:rFonts w:hint="eastAsia" w:ascii="宋体" w:hAnsi="宋体" w:eastAsia="宋体" w:cs="宋体"/>
        <w:sz w:val="21"/>
      </w:rPr>
    </w:pPr>
  </w:p>
  <w:p>
    <w:pPr>
      <w:pStyle w:val="3"/>
      <w:tabs>
        <w:tab w:val="left" w:pos="9660"/>
      </w:tabs>
      <w:wordWrap w:val="0"/>
      <w:ind w:right="-22"/>
      <w:jc w:val="both"/>
      <w:rPr>
        <w:rFonts w:hint="eastAsia" w:ascii="宋体" w:hAnsi="宋体" w:eastAsia="宋体" w:cs="宋体"/>
        <w:u w:val="single"/>
        <w:lang w:val="en-US" w:eastAsia="zh-CN"/>
      </w:rPr>
    </w:pPr>
    <w:r>
      <w:rPr>
        <w:rFonts w:hint="eastAsia" w:ascii="宋体" w:hAnsi="宋体" w:eastAsia="宋体" w:cs="宋体"/>
        <w:sz w:val="21"/>
        <w:szCs w:val="21"/>
        <w:u w:val="none"/>
      </w:rPr>
      <w:t xml:space="preserve">上海恩可埃认证有限公司 </w:t>
    </w:r>
    <w:r>
      <w:rPr>
        <w:rFonts w:hint="eastAsia" w:ascii="宋体" w:hAnsi="宋体" w:eastAsia="宋体" w:cs="宋体"/>
        <w:u w:val="none"/>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bCs/>
        <w:sz w:val="21"/>
        <w:szCs w:val="21"/>
        <w:u w:val="none"/>
      </w:rPr>
      <w:t>SNQA/G-</w:t>
    </w:r>
    <w:r>
      <w:rPr>
        <w:rFonts w:hint="eastAsia" w:ascii="宋体" w:hAnsi="宋体" w:eastAsia="宋体" w:cs="宋体"/>
        <w:bCs/>
        <w:sz w:val="21"/>
        <w:szCs w:val="21"/>
        <w:u w:val="none"/>
        <w:lang w:val="en-US" w:eastAsia="zh-CN"/>
      </w:rPr>
      <w:t>80</w:t>
    </w:r>
    <w:r>
      <w:rPr>
        <w:rFonts w:hint="eastAsia" w:ascii="宋体" w:hAnsi="宋体" w:eastAsia="宋体" w:cs="宋体"/>
        <w:bCs/>
        <w:sz w:val="21"/>
        <w:szCs w:val="21"/>
        <w:u w:val="none"/>
      </w:rPr>
      <w:t>/0</w:t>
    </w:r>
    <w:r>
      <w:rPr>
        <w:rFonts w:hint="eastAsia" w:ascii="宋体" w:hAnsi="宋体" w:eastAsia="宋体" w:cs="宋体"/>
        <w:bCs/>
        <w:sz w:val="21"/>
        <w:szCs w:val="21"/>
        <w:u w:val="none"/>
        <w:lang w:val="en-US" w:eastAsia="zh-CN"/>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0F0D51"/>
    <w:multiLevelType w:val="multilevel"/>
    <w:tmpl w:val="240F0D51"/>
    <w:lvl w:ilvl="0" w:tentative="0">
      <w:start w:val="1"/>
      <w:numFmt w:val="decimal"/>
      <w:lvlText w:val="%1."/>
      <w:lvlJc w:val="left"/>
      <w:pPr>
        <w:ind w:left="560" w:hanging="440"/>
      </w:pPr>
      <w:rPr>
        <w:rFonts w:hint="eastAsia"/>
      </w:rPr>
    </w:lvl>
    <w:lvl w:ilvl="1" w:tentative="0">
      <w:start w:val="1"/>
      <w:numFmt w:val="lowerLetter"/>
      <w:lvlText w:val="%2)"/>
      <w:lvlJc w:val="left"/>
      <w:pPr>
        <w:ind w:left="1000" w:hanging="440"/>
      </w:pPr>
    </w:lvl>
    <w:lvl w:ilvl="2" w:tentative="0">
      <w:start w:val="1"/>
      <w:numFmt w:val="lowerRoman"/>
      <w:lvlText w:val="%3."/>
      <w:lvlJc w:val="right"/>
      <w:pPr>
        <w:ind w:left="1440" w:hanging="440"/>
      </w:pPr>
    </w:lvl>
    <w:lvl w:ilvl="3" w:tentative="0">
      <w:start w:val="1"/>
      <w:numFmt w:val="decimal"/>
      <w:lvlText w:val="%4."/>
      <w:lvlJc w:val="left"/>
      <w:pPr>
        <w:ind w:left="1880" w:hanging="440"/>
      </w:pPr>
    </w:lvl>
    <w:lvl w:ilvl="4" w:tentative="0">
      <w:start w:val="1"/>
      <w:numFmt w:val="lowerLetter"/>
      <w:lvlText w:val="%5)"/>
      <w:lvlJc w:val="left"/>
      <w:pPr>
        <w:ind w:left="2320" w:hanging="440"/>
      </w:pPr>
    </w:lvl>
    <w:lvl w:ilvl="5" w:tentative="0">
      <w:start w:val="1"/>
      <w:numFmt w:val="lowerRoman"/>
      <w:lvlText w:val="%6."/>
      <w:lvlJc w:val="right"/>
      <w:pPr>
        <w:ind w:left="2760" w:hanging="440"/>
      </w:pPr>
    </w:lvl>
    <w:lvl w:ilvl="6" w:tentative="0">
      <w:start w:val="1"/>
      <w:numFmt w:val="decimal"/>
      <w:lvlText w:val="%7."/>
      <w:lvlJc w:val="left"/>
      <w:pPr>
        <w:ind w:left="3200" w:hanging="440"/>
      </w:pPr>
    </w:lvl>
    <w:lvl w:ilvl="7" w:tentative="0">
      <w:start w:val="1"/>
      <w:numFmt w:val="lowerLetter"/>
      <w:lvlText w:val="%8)"/>
      <w:lvlJc w:val="left"/>
      <w:pPr>
        <w:ind w:left="3640" w:hanging="440"/>
      </w:pPr>
    </w:lvl>
    <w:lvl w:ilvl="8" w:tentative="0">
      <w:start w:val="1"/>
      <w:numFmt w:val="lowerRoman"/>
      <w:lvlText w:val="%9."/>
      <w:lvlJc w:val="right"/>
      <w:pPr>
        <w:ind w:left="408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hM2RlMTc1NmYyNDJiNWE5Njg4NTk4YTMzZTkxNmEifQ=="/>
  </w:docVars>
  <w:rsids>
    <w:rsidRoot w:val="000B7500"/>
    <w:rsid w:val="000B7500"/>
    <w:rsid w:val="002F2104"/>
    <w:rsid w:val="00302BAF"/>
    <w:rsid w:val="003F3BE5"/>
    <w:rsid w:val="00502ED2"/>
    <w:rsid w:val="00622C49"/>
    <w:rsid w:val="00624393"/>
    <w:rsid w:val="006A180E"/>
    <w:rsid w:val="006A56BC"/>
    <w:rsid w:val="008C1DFC"/>
    <w:rsid w:val="00953BF8"/>
    <w:rsid w:val="009A0DC7"/>
    <w:rsid w:val="00D60C23"/>
    <w:rsid w:val="00DE374F"/>
    <w:rsid w:val="00E15033"/>
    <w:rsid w:val="00EE79BF"/>
    <w:rsid w:val="00F31308"/>
    <w:rsid w:val="143C3679"/>
    <w:rsid w:val="1AA6393F"/>
    <w:rsid w:val="1BE702C9"/>
    <w:rsid w:val="27282D2C"/>
    <w:rsid w:val="296323DA"/>
    <w:rsid w:val="2BEE7CD8"/>
    <w:rsid w:val="37FA1A90"/>
    <w:rsid w:val="3F23643C"/>
    <w:rsid w:val="3F744EE9"/>
    <w:rsid w:val="4F17748D"/>
    <w:rsid w:val="54176117"/>
    <w:rsid w:val="55664405"/>
    <w:rsid w:val="5C8A1451"/>
    <w:rsid w:val="6F871F4B"/>
    <w:rsid w:val="77E67A2B"/>
    <w:rsid w:val="7AA50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autoRedefine/>
    <w:qFormat/>
    <w:uiPriority w:val="99"/>
    <w:rPr>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172</Words>
  <Characters>987</Characters>
  <Lines>8</Lines>
  <Paragraphs>2</Paragraphs>
  <TotalTime>0</TotalTime>
  <ScaleCrop>false</ScaleCrop>
  <LinksUpToDate>false</LinksUpToDate>
  <CharactersWithSpaces>1157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2024-11-05T05:17:00Z</dcterms:created>
  <dc:creator>Zhu Ying</dc:creator>
  <cp:lastModifiedBy>「Amnesia」</cp:lastModifiedBy>
  <dcterms:modified xsi:type="dcterms:W3CDTF">2024-11-27T07:59:22Z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B8E4B8D12D3D429F851096BCEAAF30C9_12</vt:lpwstr>
  </property>
</Properties>
</file>