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9F5E9">
      <w:pPr>
        <w:spacing w:line="360" w:lineRule="auto"/>
        <w:rPr>
          <w:sz w:val="28"/>
          <w:szCs w:val="28"/>
          <w:highlight w:val="none"/>
        </w:rPr>
      </w:pPr>
      <w:r>
        <w:rPr>
          <w:rFonts w:hint="eastAsia" w:eastAsia="黑体"/>
          <w:sz w:val="28"/>
          <w:highlight w:val="none"/>
        </w:rPr>
        <w:t>合同登记编号</w:t>
      </w:r>
      <w:r>
        <w:rPr>
          <w:rFonts w:hint="eastAsia"/>
          <w:highlight w:val="none"/>
        </w:rPr>
        <w:t>：</w:t>
      </w:r>
      <w:permStart w:id="0" w:edGrp="everyone"/>
      <w:r>
        <w:rPr>
          <w:rFonts w:hint="eastAsia"/>
          <w:szCs w:val="21"/>
          <w:highlight w:val="none"/>
        </w:rPr>
        <w:t xml:space="preserve">                </w:t>
      </w:r>
      <w:permEnd w:id="0"/>
    </w:p>
    <w:p w14:paraId="349BE70D">
      <w:pPr>
        <w:widowControl/>
        <w:spacing w:line="360" w:lineRule="auto"/>
        <w:rPr>
          <w:highlight w:val="none"/>
        </w:rPr>
      </w:pPr>
    </w:p>
    <w:p w14:paraId="5BFBBDDB">
      <w:pPr>
        <w:widowControl/>
        <w:spacing w:line="360" w:lineRule="auto"/>
        <w:jc w:val="center"/>
        <w:rPr>
          <w:rFonts w:hint="eastAsia" w:ascii="宋体" w:hAnsi="宋体" w:cs="宋体"/>
          <w:kern w:val="0"/>
          <w:sz w:val="24"/>
          <w:highlight w:val="none"/>
        </w:rPr>
      </w:pPr>
    </w:p>
    <w:p w14:paraId="63AF561E">
      <w:pPr>
        <w:widowControl/>
        <w:spacing w:line="360" w:lineRule="auto"/>
        <w:rPr>
          <w:rFonts w:hint="eastAsia" w:ascii="宋体" w:hAnsi="宋体" w:cs="宋体"/>
          <w:kern w:val="0"/>
          <w:sz w:val="24"/>
          <w:highlight w:val="none"/>
        </w:rPr>
      </w:pPr>
    </w:p>
    <w:p w14:paraId="5887BBC0">
      <w:pPr>
        <w:spacing w:line="360" w:lineRule="auto"/>
        <w:jc w:val="center"/>
        <w:rPr>
          <w:rFonts w:ascii="宋体" w:eastAsia="黑体"/>
          <w:b/>
          <w:bCs/>
          <w:sz w:val="52"/>
          <w:szCs w:val="52"/>
          <w:highlight w:val="none"/>
        </w:rPr>
      </w:pPr>
      <w:r>
        <w:rPr>
          <w:rFonts w:hint="eastAsia" w:ascii="宋体" w:eastAsia="黑体"/>
          <w:b/>
          <w:bCs/>
          <w:sz w:val="52"/>
          <w:szCs w:val="52"/>
          <w:highlight w:val="none"/>
        </w:rPr>
        <w:t>上海恩可埃认证有限公司</w:t>
      </w:r>
    </w:p>
    <w:p w14:paraId="6A3AA271">
      <w:pPr>
        <w:spacing w:line="360" w:lineRule="auto"/>
        <w:jc w:val="center"/>
        <w:rPr>
          <w:rFonts w:eastAsia="黑体"/>
          <w:b/>
          <w:bCs/>
          <w:sz w:val="44"/>
          <w:szCs w:val="44"/>
          <w:highlight w:val="none"/>
        </w:rPr>
      </w:pPr>
      <w:r>
        <w:rPr>
          <w:rFonts w:hint="eastAsia" w:eastAsia="黑体"/>
          <w:b/>
          <w:bCs/>
          <w:sz w:val="44"/>
          <w:szCs w:val="44"/>
          <w:highlight w:val="none"/>
        </w:rPr>
        <w:t>S</w:t>
      </w:r>
      <w:r>
        <w:rPr>
          <w:rFonts w:eastAsia="黑体"/>
          <w:b/>
          <w:bCs/>
          <w:sz w:val="44"/>
          <w:szCs w:val="44"/>
          <w:highlight w:val="none"/>
        </w:rPr>
        <w:t>hanghai NQA Certification Co.,</w:t>
      </w:r>
      <w:r>
        <w:rPr>
          <w:rFonts w:hint="eastAsia" w:eastAsia="黑体"/>
          <w:b/>
          <w:bCs/>
          <w:sz w:val="44"/>
          <w:szCs w:val="44"/>
          <w:highlight w:val="none"/>
        </w:rPr>
        <w:t xml:space="preserve"> </w:t>
      </w:r>
      <w:r>
        <w:rPr>
          <w:rFonts w:eastAsia="黑体"/>
          <w:b/>
          <w:bCs/>
          <w:sz w:val="44"/>
          <w:szCs w:val="44"/>
          <w:highlight w:val="none"/>
        </w:rPr>
        <w:t>Ltd.</w:t>
      </w:r>
      <w:r>
        <w:rPr>
          <w:rFonts w:hint="eastAsia" w:eastAsia="黑体"/>
          <w:b/>
          <w:bCs/>
          <w:sz w:val="44"/>
          <w:szCs w:val="44"/>
          <w:highlight w:val="none"/>
        </w:rPr>
        <w:t xml:space="preserve"> </w:t>
      </w:r>
      <w:r>
        <w:rPr>
          <w:rFonts w:eastAsia="黑体"/>
          <w:b/>
          <w:bCs/>
          <w:sz w:val="44"/>
          <w:szCs w:val="44"/>
          <w:highlight w:val="none"/>
        </w:rPr>
        <w:t>(SNQA)</w:t>
      </w:r>
    </w:p>
    <w:p w14:paraId="6676C641">
      <w:pPr>
        <w:spacing w:line="360" w:lineRule="auto"/>
        <w:ind w:firstLine="1440" w:firstLineChars="200"/>
        <w:rPr>
          <w:rFonts w:eastAsia="黑体"/>
          <w:bCs/>
          <w:sz w:val="72"/>
          <w:highlight w:val="none"/>
        </w:rPr>
      </w:pPr>
    </w:p>
    <w:p w14:paraId="75A09975">
      <w:pPr>
        <w:spacing w:line="360" w:lineRule="auto"/>
        <w:jc w:val="center"/>
        <w:rPr>
          <w:rFonts w:eastAsia="黑体"/>
          <w:b/>
          <w:bCs/>
          <w:sz w:val="84"/>
          <w:szCs w:val="84"/>
          <w:highlight w:val="none"/>
        </w:rPr>
      </w:pPr>
      <w:r>
        <w:rPr>
          <w:rFonts w:hint="eastAsia" w:eastAsia="黑体"/>
          <w:b/>
          <w:bCs/>
          <w:sz w:val="84"/>
          <w:szCs w:val="84"/>
          <w:highlight w:val="none"/>
        </w:rPr>
        <w:t>IATF16949认证合同</w:t>
      </w:r>
    </w:p>
    <w:p w14:paraId="2D2C0249">
      <w:pPr>
        <w:spacing w:line="360" w:lineRule="auto"/>
        <w:rPr>
          <w:highlight w:val="none"/>
        </w:rPr>
      </w:pPr>
    </w:p>
    <w:p w14:paraId="0C6069D6">
      <w:pPr>
        <w:spacing w:line="360" w:lineRule="auto"/>
        <w:rPr>
          <w:highlight w:val="none"/>
        </w:rPr>
      </w:pPr>
    </w:p>
    <w:p w14:paraId="69C8FCDF">
      <w:pPr>
        <w:spacing w:line="360" w:lineRule="auto"/>
        <w:rPr>
          <w:highlight w:val="none"/>
        </w:rPr>
      </w:pPr>
    </w:p>
    <w:p w14:paraId="5E99F7D0">
      <w:pPr>
        <w:spacing w:line="360" w:lineRule="auto"/>
        <w:rPr>
          <w:rFonts w:eastAsia="黑体"/>
          <w:sz w:val="32"/>
          <w:highlight w:val="none"/>
        </w:rPr>
      </w:pPr>
      <w:r>
        <w:rPr>
          <w:rFonts w:hint="eastAsia" w:ascii="黑体" w:eastAsia="黑体"/>
          <w:sz w:val="28"/>
          <w:highlight w:val="none"/>
        </w:rPr>
        <w:t xml:space="preserve">项目名称     </w:t>
      </w:r>
      <w:permStart w:id="1" w:edGrp="everyone"/>
      <w:r>
        <w:rPr>
          <w:rFonts w:hint="eastAsia"/>
          <w:sz w:val="22"/>
          <w:szCs w:val="22"/>
          <w:highlight w:val="none"/>
        </w:rPr>
        <w:t>□</w:t>
      </w:r>
      <w:permEnd w:id="1"/>
      <w:r>
        <w:rPr>
          <w:rFonts w:hint="eastAsia" w:ascii="黑体" w:eastAsia="黑体"/>
          <w:sz w:val="28"/>
          <w:highlight w:val="none"/>
        </w:rPr>
        <w:t xml:space="preserve">   </w:t>
      </w:r>
      <w:r>
        <w:rPr>
          <w:rFonts w:eastAsia="黑体"/>
          <w:sz w:val="32"/>
          <w:highlight w:val="none"/>
        </w:rPr>
        <w:t>I</w:t>
      </w:r>
      <w:r>
        <w:rPr>
          <w:rFonts w:hint="eastAsia" w:eastAsia="黑体"/>
          <w:sz w:val="32"/>
          <w:highlight w:val="none"/>
        </w:rPr>
        <w:t xml:space="preserve">ATF16949:2016 </w:t>
      </w:r>
    </w:p>
    <w:p w14:paraId="53C4C99E">
      <w:pPr>
        <w:spacing w:line="360" w:lineRule="auto"/>
        <w:ind w:left="1842" w:leftChars="877"/>
        <w:rPr>
          <w:rFonts w:eastAsia="黑体"/>
          <w:sz w:val="32"/>
          <w:highlight w:val="none"/>
        </w:rPr>
      </w:pPr>
      <w:permStart w:id="2" w:edGrp="everyone"/>
      <w:r>
        <w:rPr>
          <w:rFonts w:hint="eastAsia"/>
          <w:sz w:val="22"/>
          <w:szCs w:val="22"/>
          <w:highlight w:val="none"/>
        </w:rPr>
        <w:t>□</w:t>
      </w:r>
      <w:permEnd w:id="2"/>
      <w:r>
        <w:rPr>
          <w:rFonts w:hint="eastAsia" w:ascii="黑体" w:eastAsia="黑体"/>
          <w:sz w:val="28"/>
          <w:highlight w:val="none"/>
        </w:rPr>
        <w:t xml:space="preserve">   </w:t>
      </w:r>
      <w:r>
        <w:rPr>
          <w:rFonts w:hint="eastAsia" w:eastAsia="黑体"/>
          <w:sz w:val="32"/>
          <w:highlight w:val="none"/>
        </w:rPr>
        <w:t>独立审核方案的“独立远程支持场所”</w:t>
      </w:r>
      <w:r>
        <w:rPr>
          <w:rFonts w:hint="eastAsia" w:ascii="黑体" w:eastAsia="黑体"/>
          <w:sz w:val="32"/>
          <w:highlight w:val="none"/>
        </w:rPr>
        <w:t xml:space="preserve"> </w:t>
      </w:r>
    </w:p>
    <w:p w14:paraId="3F77912F">
      <w:pPr>
        <w:tabs>
          <w:tab w:val="left" w:pos="1890"/>
        </w:tabs>
        <w:spacing w:line="360" w:lineRule="auto"/>
        <w:rPr>
          <w:rFonts w:ascii="黑体" w:eastAsia="黑体"/>
          <w:sz w:val="32"/>
          <w:highlight w:val="none"/>
        </w:rPr>
      </w:pPr>
    </w:p>
    <w:p w14:paraId="6909894B">
      <w:pPr>
        <w:tabs>
          <w:tab w:val="left" w:pos="1890"/>
        </w:tabs>
        <w:spacing w:line="360" w:lineRule="auto"/>
        <w:rPr>
          <w:rFonts w:ascii="黑体" w:eastAsia="黑体"/>
          <w:sz w:val="32"/>
          <w:highlight w:val="none"/>
        </w:rPr>
      </w:pPr>
    </w:p>
    <w:p w14:paraId="2DE4FE8E">
      <w:pPr>
        <w:spacing w:line="360" w:lineRule="auto"/>
        <w:rPr>
          <w:highlight w:val="none"/>
        </w:rPr>
      </w:pPr>
    </w:p>
    <w:p w14:paraId="45064E2D">
      <w:pPr>
        <w:spacing w:line="360" w:lineRule="auto"/>
        <w:rPr>
          <w:b/>
          <w:bCs/>
          <w:sz w:val="30"/>
          <w:highlight w:val="none"/>
        </w:rPr>
      </w:pPr>
      <w:r>
        <w:rPr>
          <w:rFonts w:hint="eastAsia"/>
          <w:b/>
          <w:bCs/>
          <w:sz w:val="30"/>
          <w:highlight w:val="none"/>
        </w:rPr>
        <w:t xml:space="preserve">委托方（甲方）  </w:t>
      </w:r>
      <w:permStart w:id="3" w:edGrp="everyone"/>
      <w:r>
        <w:rPr>
          <w:rFonts w:hint="eastAsia"/>
          <w:bCs/>
          <w:sz w:val="30"/>
          <w:highlight w:val="none"/>
          <w:u w:val="single"/>
        </w:rPr>
        <w:t xml:space="preserve">   </w:t>
      </w:r>
      <w:r>
        <w:rPr>
          <w:rFonts w:hint="eastAsia"/>
          <w:bCs/>
          <w:sz w:val="32"/>
          <w:szCs w:val="32"/>
          <w:highlight w:val="none"/>
          <w:u w:val="single"/>
        </w:rPr>
        <w:t xml:space="preserve">             </w:t>
      </w:r>
      <w:r>
        <w:rPr>
          <w:rFonts w:hint="eastAsia"/>
          <w:bCs/>
          <w:sz w:val="30"/>
          <w:highlight w:val="none"/>
          <w:u w:val="single"/>
        </w:rPr>
        <w:t xml:space="preserve">                            </w:t>
      </w:r>
      <w:permEnd w:id="3"/>
      <w:r>
        <w:rPr>
          <w:rFonts w:hint="eastAsia"/>
          <w:b/>
          <w:bCs/>
          <w:sz w:val="30"/>
          <w:highlight w:val="none"/>
        </w:rPr>
        <w:t xml:space="preserve"> </w:t>
      </w:r>
    </w:p>
    <w:p w14:paraId="1DF1DDDB">
      <w:pPr>
        <w:spacing w:line="360" w:lineRule="auto"/>
        <w:rPr>
          <w:b/>
          <w:bCs/>
          <w:sz w:val="30"/>
          <w:highlight w:val="none"/>
        </w:rPr>
      </w:pPr>
      <w:r>
        <w:rPr>
          <w:rFonts w:hint="eastAsia"/>
          <w:b/>
          <w:bCs/>
          <w:sz w:val="30"/>
          <w:highlight w:val="none"/>
        </w:rPr>
        <w:t xml:space="preserve"> </w:t>
      </w:r>
    </w:p>
    <w:p w14:paraId="62D8D54D">
      <w:pPr>
        <w:spacing w:line="360" w:lineRule="auto"/>
        <w:rPr>
          <w:rFonts w:hint="eastAsia" w:ascii="黑体" w:hAnsi="黑体" w:eastAsia="黑体"/>
          <w:b/>
          <w:bCs/>
          <w:sz w:val="36"/>
          <w:szCs w:val="36"/>
          <w:highlight w:val="none"/>
        </w:rPr>
      </w:pPr>
      <w:r>
        <w:rPr>
          <w:rFonts w:hint="eastAsia"/>
          <w:b/>
          <w:bCs/>
          <w:sz w:val="30"/>
          <w:highlight w:val="none"/>
        </w:rPr>
        <w:t xml:space="preserve">审核方（乙方）  </w:t>
      </w:r>
      <w:r>
        <w:rPr>
          <w:rFonts w:ascii="Arial" w:hAnsi="Arial" w:eastAsia="黑体" w:cs="Arial"/>
          <w:b/>
          <w:bCs/>
          <w:sz w:val="30"/>
          <w:highlight w:val="none"/>
          <w:u w:val="single"/>
        </w:rPr>
        <w:t xml:space="preserve">          </w:t>
      </w:r>
      <w:r>
        <w:rPr>
          <w:rFonts w:ascii="黑体" w:hAnsi="黑体" w:eastAsia="黑体" w:cs="Arial"/>
          <w:b/>
          <w:bCs/>
          <w:sz w:val="36"/>
          <w:szCs w:val="36"/>
          <w:highlight w:val="none"/>
          <w:u w:val="single"/>
        </w:rPr>
        <w:t>上海恩可埃认证有限公司</w:t>
      </w:r>
      <w:r>
        <w:rPr>
          <w:rFonts w:hint="eastAsia" w:ascii="黑体" w:hAnsi="黑体" w:eastAsia="黑体" w:cs="Arial"/>
          <w:b/>
          <w:bCs/>
          <w:sz w:val="36"/>
          <w:szCs w:val="36"/>
          <w:highlight w:val="none"/>
          <w:u w:val="single"/>
        </w:rPr>
        <w:t xml:space="preserve">        </w:t>
      </w:r>
    </w:p>
    <w:p w14:paraId="337BD466">
      <w:pPr>
        <w:spacing w:line="360" w:lineRule="auto"/>
        <w:rPr>
          <w:b/>
          <w:bCs/>
          <w:highlight w:val="none"/>
        </w:rPr>
      </w:pPr>
    </w:p>
    <w:p w14:paraId="30901656">
      <w:pPr>
        <w:spacing w:line="360" w:lineRule="auto"/>
        <w:rPr>
          <w:b/>
          <w:bCs/>
          <w:highlight w:val="none"/>
        </w:rPr>
      </w:pPr>
    </w:p>
    <w:p w14:paraId="22B5AD72">
      <w:pPr>
        <w:spacing w:line="360" w:lineRule="auto"/>
        <w:rPr>
          <w:b/>
          <w:bCs/>
          <w:highlight w:val="none"/>
        </w:rPr>
      </w:pPr>
    </w:p>
    <w:p w14:paraId="2ECBBDD7">
      <w:pPr>
        <w:spacing w:line="360" w:lineRule="auto"/>
        <w:rPr>
          <w:b/>
          <w:bCs/>
          <w:highlight w:val="none"/>
        </w:rPr>
      </w:pPr>
    </w:p>
    <w:p w14:paraId="593EA943">
      <w:pPr>
        <w:spacing w:line="360" w:lineRule="auto"/>
        <w:ind w:firstLine="440" w:firstLineChars="200"/>
        <w:rPr>
          <w:sz w:val="22"/>
          <w:szCs w:val="22"/>
          <w:highlight w:val="none"/>
        </w:rPr>
      </w:pPr>
      <w:r>
        <w:rPr>
          <w:rFonts w:hint="eastAsia"/>
          <w:bCs/>
          <w:sz w:val="22"/>
          <w:szCs w:val="22"/>
          <w:highlight w:val="none"/>
        </w:rPr>
        <w:t>依据《中华人民共和国民法典》之规定，甲乙双方就</w:t>
      </w:r>
      <w:r>
        <w:rPr>
          <w:bCs/>
          <w:sz w:val="22"/>
          <w:szCs w:val="22"/>
          <w:highlight w:val="none"/>
        </w:rPr>
        <w:t>IATF16949</w:t>
      </w:r>
      <w:r>
        <w:rPr>
          <w:rFonts w:hint="eastAsia"/>
          <w:bCs/>
          <w:sz w:val="22"/>
          <w:szCs w:val="22"/>
          <w:highlight w:val="none"/>
        </w:rPr>
        <w:t>质量管理体系认证（审核）项目，经平等协商，在真实、充分地表达各自意愿的基础上，签订本合同，双方共同遵守履行</w:t>
      </w:r>
      <w:r>
        <w:rPr>
          <w:rFonts w:hint="eastAsia"/>
          <w:sz w:val="22"/>
          <w:szCs w:val="22"/>
          <w:highlight w:val="none"/>
        </w:rPr>
        <w:t>。</w:t>
      </w:r>
    </w:p>
    <w:p w14:paraId="53F0461B">
      <w:pPr>
        <w:pStyle w:val="11"/>
        <w:numPr>
          <w:ilvl w:val="0"/>
          <w:numId w:val="1"/>
        </w:numPr>
        <w:spacing w:line="360" w:lineRule="auto"/>
        <w:ind w:firstLineChars="0"/>
        <w:rPr>
          <w:sz w:val="22"/>
          <w:szCs w:val="22"/>
          <w:highlight w:val="none"/>
        </w:rPr>
      </w:pPr>
      <w:r>
        <w:rPr>
          <w:rFonts w:hint="eastAsia"/>
          <w:bCs/>
          <w:sz w:val="22"/>
          <w:szCs w:val="22"/>
          <w:highlight w:val="none"/>
        </w:rPr>
        <w:t>管理体系认证项目的内容和要求</w:t>
      </w:r>
    </w:p>
    <w:p w14:paraId="43BE60AF">
      <w:pPr>
        <w:pStyle w:val="11"/>
        <w:numPr>
          <w:ilvl w:val="0"/>
          <w:numId w:val="2"/>
        </w:numPr>
        <w:spacing w:line="360" w:lineRule="auto"/>
        <w:ind w:firstLineChars="0"/>
        <w:rPr>
          <w:sz w:val="22"/>
          <w:szCs w:val="22"/>
          <w:highlight w:val="none"/>
        </w:rPr>
      </w:pPr>
      <w:r>
        <w:rPr>
          <w:rFonts w:hint="eastAsia"/>
          <w:sz w:val="22"/>
          <w:szCs w:val="22"/>
          <w:highlight w:val="none"/>
        </w:rPr>
        <w:t>甲方按照</w:t>
      </w:r>
      <w:permStart w:id="4" w:edGrp="everyone"/>
      <w:r>
        <w:rPr>
          <w:rFonts w:hint="eastAsia"/>
          <w:sz w:val="22"/>
          <w:szCs w:val="22"/>
          <w:highlight w:val="none"/>
        </w:rPr>
        <w:t>□</w:t>
      </w:r>
      <w:permEnd w:id="4"/>
      <w:r>
        <w:rPr>
          <w:rFonts w:hint="eastAsia"/>
          <w:sz w:val="22"/>
          <w:szCs w:val="22"/>
          <w:highlight w:val="none"/>
        </w:rPr>
        <w:t>IATF16949:2016标准建立管理体系，乙方依据上述标准对甲方进行认证审核，IATF16949:2016适用于每一个客户制造顾客指定生产零件和/或服务件的所有现场。</w:t>
      </w:r>
    </w:p>
    <w:p w14:paraId="79900278">
      <w:pPr>
        <w:pStyle w:val="11"/>
        <w:numPr>
          <w:ilvl w:val="0"/>
          <w:numId w:val="2"/>
        </w:numPr>
        <w:spacing w:line="360" w:lineRule="auto"/>
        <w:ind w:firstLineChars="0"/>
        <w:rPr>
          <w:sz w:val="22"/>
          <w:szCs w:val="22"/>
          <w:highlight w:val="none"/>
        </w:rPr>
      </w:pPr>
      <w:r>
        <w:rPr>
          <w:rFonts w:hint="eastAsia"/>
          <w:sz w:val="22"/>
          <w:szCs w:val="22"/>
          <w:highlight w:val="none"/>
        </w:rPr>
        <w:t xml:space="preserve">甲方 </w:t>
      </w:r>
      <w:permStart w:id="5" w:edGrp="everyone"/>
      <w:r>
        <w:rPr>
          <w:rFonts w:hint="eastAsia"/>
          <w:sz w:val="22"/>
          <w:szCs w:val="22"/>
          <w:highlight w:val="none"/>
        </w:rPr>
        <w:sym w:font="Wingdings 2" w:char="00A3"/>
      </w:r>
      <w:permEnd w:id="5"/>
      <w:r>
        <w:rPr>
          <w:rFonts w:hint="eastAsia"/>
          <w:sz w:val="22"/>
          <w:szCs w:val="22"/>
          <w:highlight w:val="none"/>
        </w:rPr>
        <w:t xml:space="preserve">有 </w:t>
      </w:r>
      <w:permStart w:id="6" w:edGrp="everyone"/>
      <w:r>
        <w:rPr>
          <w:rFonts w:hint="eastAsia"/>
          <w:sz w:val="22"/>
          <w:szCs w:val="22"/>
          <w:highlight w:val="none"/>
        </w:rPr>
        <w:sym w:font="Wingdings 2" w:char="00A3"/>
      </w:r>
      <w:permEnd w:id="6"/>
      <w:r>
        <w:rPr>
          <w:rFonts w:hint="eastAsia"/>
          <w:sz w:val="22"/>
          <w:szCs w:val="22"/>
          <w:highlight w:val="none"/>
        </w:rPr>
        <w:t xml:space="preserve">无 产品设计责任（无论是否有产品设计责任，均需提供相关证据)。                             </w:t>
      </w:r>
    </w:p>
    <w:p w14:paraId="24BBC130">
      <w:pPr>
        <w:pStyle w:val="11"/>
        <w:numPr>
          <w:ilvl w:val="0"/>
          <w:numId w:val="2"/>
        </w:numPr>
        <w:spacing w:line="360" w:lineRule="auto"/>
        <w:ind w:firstLineChars="0"/>
        <w:rPr>
          <w:sz w:val="22"/>
          <w:szCs w:val="22"/>
          <w:highlight w:val="none"/>
        </w:rPr>
      </w:pPr>
      <w:r>
        <w:rPr>
          <w:rFonts w:hint="eastAsia"/>
          <w:sz w:val="22"/>
          <w:szCs w:val="22"/>
          <w:highlight w:val="none"/>
        </w:rPr>
        <w:t>甲方管理体系的覆盖范围：</w:t>
      </w:r>
      <w:permStart w:id="7" w:edGrp="everyone"/>
      <w:r>
        <w:rPr>
          <w:rFonts w:hint="eastAsia" w:ascii="宋体" w:hAnsi="宋体"/>
          <w:sz w:val="22"/>
          <w:szCs w:val="22"/>
          <w:highlight w:val="none"/>
          <w:u w:val="single"/>
        </w:rPr>
        <w:t xml:space="preserve">                                                            </w:t>
      </w:r>
      <w:permEnd w:id="7"/>
      <w:r>
        <w:rPr>
          <w:rFonts w:hint="eastAsia"/>
          <w:sz w:val="22"/>
          <w:szCs w:val="22"/>
          <w:highlight w:val="none"/>
        </w:rPr>
        <w:t xml:space="preserve">                             </w:t>
      </w:r>
      <w:permStart w:id="8" w:edGrp="everyone"/>
      <w:r>
        <w:rPr>
          <w:rFonts w:hint="eastAsia"/>
          <w:sz w:val="22"/>
          <w:szCs w:val="22"/>
          <w:highlight w:val="none"/>
        </w:rPr>
        <w:t xml:space="preserve">                                                                                     </w:t>
      </w:r>
      <w:permEnd w:id="8"/>
      <w:r>
        <w:rPr>
          <w:rFonts w:hint="eastAsia"/>
          <w:sz w:val="22"/>
          <w:szCs w:val="22"/>
          <w:highlight w:val="none"/>
        </w:rPr>
        <w:t xml:space="preserve">  </w:t>
      </w:r>
      <w:r>
        <w:rPr>
          <w:sz w:val="22"/>
          <w:szCs w:val="22"/>
          <w:highlight w:val="none"/>
        </w:rPr>
        <w:t xml:space="preserve">                                                                         </w:t>
      </w:r>
    </w:p>
    <w:p w14:paraId="51EF1133">
      <w:pPr>
        <w:pStyle w:val="11"/>
        <w:numPr>
          <w:ilvl w:val="0"/>
          <w:numId w:val="2"/>
        </w:numPr>
        <w:spacing w:line="360" w:lineRule="auto"/>
        <w:ind w:firstLineChars="0"/>
        <w:rPr>
          <w:sz w:val="22"/>
          <w:szCs w:val="22"/>
          <w:highlight w:val="none"/>
        </w:rPr>
      </w:pPr>
      <w:r>
        <w:rPr>
          <w:rFonts w:hint="eastAsia"/>
          <w:sz w:val="22"/>
          <w:szCs w:val="22"/>
          <w:highlight w:val="none"/>
        </w:rPr>
        <w:t>甲方受审核场所的总人数：</w:t>
      </w:r>
      <w:permStart w:id="9" w:edGrp="everyone"/>
      <w:r>
        <w:rPr>
          <w:rFonts w:hint="eastAsia"/>
          <w:sz w:val="22"/>
          <w:szCs w:val="22"/>
          <w:highlight w:val="none"/>
          <w:u w:val="single"/>
        </w:rPr>
        <w:t xml:space="preserve">         </w:t>
      </w:r>
      <w:permEnd w:id="9"/>
      <w:r>
        <w:rPr>
          <w:rFonts w:hint="eastAsia"/>
          <w:sz w:val="22"/>
          <w:szCs w:val="22"/>
          <w:highlight w:val="none"/>
        </w:rPr>
        <w:t>，其中固定员工人数：</w:t>
      </w:r>
      <w:permStart w:id="10" w:edGrp="everyone"/>
      <w:r>
        <w:rPr>
          <w:rFonts w:hint="eastAsia"/>
          <w:sz w:val="22"/>
          <w:szCs w:val="22"/>
          <w:highlight w:val="none"/>
          <w:u w:val="single"/>
        </w:rPr>
        <w:t xml:space="preserve">          </w:t>
      </w:r>
      <w:permEnd w:id="10"/>
      <w:r>
        <w:rPr>
          <w:rFonts w:hint="eastAsia"/>
          <w:sz w:val="22"/>
          <w:szCs w:val="22"/>
          <w:highlight w:val="none"/>
        </w:rPr>
        <w:t>，非固定员工数：</w:t>
      </w:r>
      <w:permStart w:id="11" w:edGrp="everyone"/>
      <w:r>
        <w:rPr>
          <w:rFonts w:hint="eastAsia"/>
          <w:sz w:val="22"/>
          <w:szCs w:val="22"/>
          <w:highlight w:val="none"/>
          <w:u w:val="single"/>
        </w:rPr>
        <w:t xml:space="preserve">           </w:t>
      </w:r>
      <w:permEnd w:id="11"/>
      <w:r>
        <w:rPr>
          <w:rFonts w:hint="eastAsia"/>
          <w:sz w:val="22"/>
          <w:szCs w:val="22"/>
          <w:highlight w:val="none"/>
        </w:rPr>
        <w:t xml:space="preserve">。 </w:t>
      </w:r>
    </w:p>
    <w:p w14:paraId="5B73A54C">
      <w:pPr>
        <w:pStyle w:val="11"/>
        <w:numPr>
          <w:ilvl w:val="0"/>
          <w:numId w:val="2"/>
        </w:numPr>
        <w:spacing w:line="360" w:lineRule="auto"/>
        <w:ind w:firstLineChars="0"/>
        <w:rPr>
          <w:sz w:val="22"/>
          <w:szCs w:val="22"/>
          <w:highlight w:val="none"/>
        </w:rPr>
      </w:pPr>
      <w:r>
        <w:rPr>
          <w:rFonts w:hint="eastAsia"/>
          <w:sz w:val="22"/>
          <w:szCs w:val="22"/>
          <w:highlight w:val="none"/>
        </w:rPr>
        <w:t xml:space="preserve">甲方希望现场认证审核日期为 </w:t>
      </w:r>
      <w:permStart w:id="12" w:edGrp="everyone"/>
      <w:r>
        <w:rPr>
          <w:rFonts w:hint="eastAsia"/>
          <w:sz w:val="22"/>
          <w:szCs w:val="22"/>
          <w:highlight w:val="none"/>
          <w:u w:val="single"/>
        </w:rPr>
        <w:t xml:space="preserve">                 </w:t>
      </w:r>
      <w:permEnd w:id="12"/>
      <w:r>
        <w:rPr>
          <w:rFonts w:hint="eastAsia"/>
          <w:sz w:val="22"/>
          <w:szCs w:val="22"/>
          <w:highlight w:val="none"/>
        </w:rPr>
        <w:t xml:space="preserve">，以双方最终协商一致的时间为准。 </w:t>
      </w:r>
    </w:p>
    <w:p w14:paraId="7E99314B">
      <w:pPr>
        <w:pStyle w:val="11"/>
        <w:numPr>
          <w:ilvl w:val="0"/>
          <w:numId w:val="2"/>
        </w:numPr>
        <w:spacing w:line="360" w:lineRule="auto"/>
        <w:ind w:firstLineChars="0"/>
        <w:rPr>
          <w:sz w:val="22"/>
          <w:szCs w:val="22"/>
          <w:highlight w:val="none"/>
        </w:rPr>
      </w:pPr>
      <w:r>
        <w:rPr>
          <w:rFonts w:hint="eastAsia"/>
          <w:sz w:val="22"/>
          <w:szCs w:val="22"/>
          <w:highlight w:val="none"/>
        </w:rPr>
        <w:t xml:space="preserve">认证（审核）类型      </w:t>
      </w:r>
      <w:permStart w:id="13" w:edGrp="everyone"/>
      <w:r>
        <w:rPr>
          <w:rFonts w:hint="eastAsia"/>
          <w:sz w:val="22"/>
          <w:szCs w:val="22"/>
          <w:highlight w:val="none"/>
        </w:rPr>
        <w:sym w:font="Wingdings 2" w:char="00A3"/>
      </w:r>
      <w:permEnd w:id="13"/>
      <w:r>
        <w:rPr>
          <w:rFonts w:hint="eastAsia"/>
          <w:sz w:val="22"/>
          <w:szCs w:val="22"/>
          <w:highlight w:val="none"/>
        </w:rPr>
        <w:t xml:space="preserve">初审    </w:t>
      </w:r>
      <w:permStart w:id="14" w:edGrp="everyone"/>
      <w:r>
        <w:rPr>
          <w:rFonts w:hint="eastAsia"/>
          <w:sz w:val="22"/>
          <w:szCs w:val="22"/>
          <w:highlight w:val="none"/>
        </w:rPr>
        <w:t>□</w:t>
      </w:r>
      <w:permEnd w:id="14"/>
      <w:r>
        <w:rPr>
          <w:rFonts w:hint="eastAsia"/>
          <w:sz w:val="22"/>
          <w:szCs w:val="22"/>
          <w:highlight w:val="none"/>
        </w:rPr>
        <w:t xml:space="preserve">再认证*   </w:t>
      </w:r>
      <w:permStart w:id="15" w:edGrp="everyone"/>
      <w:r>
        <w:rPr>
          <w:rFonts w:hint="eastAsia"/>
          <w:sz w:val="22"/>
          <w:szCs w:val="22"/>
          <w:highlight w:val="none"/>
        </w:rPr>
        <w:t>□</w:t>
      </w:r>
      <w:permEnd w:id="15"/>
      <w:r>
        <w:rPr>
          <w:rFonts w:hint="eastAsia"/>
          <w:sz w:val="22"/>
          <w:szCs w:val="22"/>
          <w:highlight w:val="none"/>
        </w:rPr>
        <w:t>转移审核</w:t>
      </w:r>
    </w:p>
    <w:p w14:paraId="5604FE89">
      <w:pPr>
        <w:pStyle w:val="11"/>
        <w:numPr>
          <w:ilvl w:val="0"/>
          <w:numId w:val="2"/>
        </w:numPr>
        <w:spacing w:line="360" w:lineRule="auto"/>
        <w:ind w:firstLineChars="0"/>
        <w:rPr>
          <w:sz w:val="22"/>
          <w:szCs w:val="22"/>
          <w:highlight w:val="none"/>
        </w:rPr>
      </w:pPr>
      <w:r>
        <w:rPr>
          <w:rFonts w:hint="eastAsia"/>
          <w:sz w:val="22"/>
          <w:szCs w:val="22"/>
          <w:highlight w:val="none"/>
        </w:rPr>
        <w:t>甲方申请获取的证书和标志：*</w:t>
      </w:r>
    </w:p>
    <w:p w14:paraId="18A5A404">
      <w:pPr>
        <w:spacing w:line="360" w:lineRule="auto"/>
        <w:ind w:firstLine="424" w:firstLineChars="193"/>
        <w:rPr>
          <w:sz w:val="22"/>
          <w:szCs w:val="22"/>
          <w:highlight w:val="none"/>
          <w:u w:val="single"/>
        </w:rPr>
      </w:pPr>
      <w:permStart w:id="16" w:edGrp="everyone"/>
      <w:r>
        <w:rPr>
          <w:rFonts w:hint="eastAsia"/>
          <w:sz w:val="22"/>
          <w:szCs w:val="22"/>
          <w:highlight w:val="none"/>
        </w:rPr>
        <w:sym w:font="Wingdings 2" w:char="0052"/>
      </w:r>
      <w:permEnd w:id="16"/>
      <w:r>
        <w:rPr>
          <w:rFonts w:hint="eastAsia"/>
          <w:sz w:val="22"/>
          <w:szCs w:val="22"/>
          <w:highlight w:val="none"/>
        </w:rPr>
        <w:t xml:space="preserve"> IATF16949:2016                      获证标志 </w:t>
      </w:r>
      <w:r>
        <w:rPr>
          <w:rFonts w:hint="eastAsia"/>
          <w:sz w:val="22"/>
          <w:szCs w:val="22"/>
          <w:highlight w:val="none"/>
          <w:u w:val="single"/>
        </w:rPr>
        <w:t xml:space="preserve">              IATF                </w:t>
      </w:r>
    </w:p>
    <w:p w14:paraId="2591E38E">
      <w:pPr>
        <w:spacing w:line="360" w:lineRule="auto"/>
        <w:ind w:firstLine="424" w:firstLineChars="193"/>
        <w:rPr>
          <w:sz w:val="22"/>
          <w:szCs w:val="22"/>
          <w:highlight w:val="none"/>
        </w:rPr>
      </w:pPr>
      <w:permStart w:id="17" w:edGrp="everyone"/>
      <w:r>
        <w:rPr>
          <w:rFonts w:hint="eastAsia"/>
          <w:sz w:val="22"/>
          <w:szCs w:val="22"/>
          <w:highlight w:val="none"/>
        </w:rPr>
        <w:t>□</w:t>
      </w:r>
      <w:permEnd w:id="17"/>
      <w:r>
        <w:rPr>
          <w:rFonts w:hint="eastAsia"/>
          <w:sz w:val="22"/>
          <w:szCs w:val="22"/>
          <w:highlight w:val="none"/>
        </w:rPr>
        <w:t xml:space="preserve"> 符合证明函                        </w:t>
      </w:r>
      <w:r>
        <w:rPr>
          <w:rFonts w:hint="eastAsia"/>
          <w:sz w:val="22"/>
          <w:szCs w:val="22"/>
          <w:highlight w:val="none"/>
        </w:rPr>
        <w:tab/>
      </w:r>
      <w:r>
        <w:rPr>
          <w:rFonts w:hint="eastAsia"/>
          <w:sz w:val="22"/>
          <w:szCs w:val="22"/>
          <w:highlight w:val="none"/>
        </w:rPr>
        <w:tab/>
      </w:r>
      <w:r>
        <w:rPr>
          <w:rFonts w:hint="eastAsia"/>
          <w:sz w:val="22"/>
          <w:szCs w:val="22"/>
          <w:highlight w:val="none"/>
        </w:rPr>
        <w:t xml:space="preserve"> 证明函标志 </w:t>
      </w:r>
      <w:r>
        <w:rPr>
          <w:rFonts w:hint="eastAsia"/>
          <w:sz w:val="22"/>
          <w:szCs w:val="22"/>
          <w:highlight w:val="none"/>
          <w:u w:val="single"/>
        </w:rPr>
        <w:t xml:space="preserve">              IATF              </w:t>
      </w:r>
    </w:p>
    <w:p w14:paraId="68D3779B">
      <w:pPr>
        <w:pStyle w:val="11"/>
        <w:numPr>
          <w:ilvl w:val="0"/>
          <w:numId w:val="2"/>
        </w:numPr>
        <w:spacing w:line="360" w:lineRule="auto"/>
        <w:ind w:firstLineChars="0"/>
        <w:rPr>
          <w:sz w:val="22"/>
          <w:szCs w:val="22"/>
          <w:highlight w:val="none"/>
        </w:rPr>
      </w:pPr>
      <w:r>
        <w:rPr>
          <w:rFonts w:hint="eastAsia"/>
          <w:sz w:val="22"/>
          <w:szCs w:val="22"/>
          <w:highlight w:val="none"/>
        </w:rPr>
        <w:t>甲方管理体系覆盖的场所包括主场所在内共</w:t>
      </w:r>
      <w:permStart w:id="18" w:edGrp="everyone"/>
      <w:r>
        <w:rPr>
          <w:rFonts w:hint="eastAsia"/>
          <w:sz w:val="22"/>
          <w:szCs w:val="22"/>
          <w:highlight w:val="none"/>
          <w:u w:val="single"/>
        </w:rPr>
        <w:t xml:space="preserve">          </w:t>
      </w:r>
      <w:permEnd w:id="18"/>
      <w:r>
        <w:rPr>
          <w:rFonts w:hint="eastAsia"/>
          <w:sz w:val="22"/>
          <w:szCs w:val="22"/>
          <w:highlight w:val="none"/>
        </w:rPr>
        <w:t>个场所，各场所名称、地址、人数和职能见《汽车管理体系调查问卷》及《IATF16949申请书》。</w:t>
      </w:r>
    </w:p>
    <w:p w14:paraId="13A057EB">
      <w:pPr>
        <w:pStyle w:val="11"/>
        <w:numPr>
          <w:ilvl w:val="0"/>
          <w:numId w:val="2"/>
        </w:numPr>
        <w:spacing w:line="360" w:lineRule="auto"/>
        <w:ind w:firstLineChars="0"/>
        <w:rPr>
          <w:sz w:val="22"/>
          <w:szCs w:val="22"/>
          <w:highlight w:val="none"/>
        </w:rPr>
      </w:pPr>
      <w:bookmarkStart w:id="0" w:name="OLE_LINK7"/>
      <w:r>
        <w:rPr>
          <w:rFonts w:hint="eastAsia"/>
          <w:sz w:val="22"/>
          <w:szCs w:val="22"/>
          <w:highlight w:val="none"/>
        </w:rPr>
        <w:t>以下内容仅适用与乙方</w:t>
      </w:r>
      <w:bookmarkStart w:id="1" w:name="OLE_LINK6"/>
      <w:r>
        <w:rPr>
          <w:rFonts w:hint="eastAsia"/>
          <w:sz w:val="22"/>
          <w:szCs w:val="22"/>
          <w:highlight w:val="none"/>
        </w:rPr>
        <w:t>单独签订合同并创建独立审核方案的</w:t>
      </w:r>
      <w:bookmarkEnd w:id="1"/>
      <w:r>
        <w:rPr>
          <w:rFonts w:hint="eastAsia"/>
          <w:sz w:val="22"/>
          <w:szCs w:val="22"/>
          <w:highlight w:val="none"/>
        </w:rPr>
        <w:t>“独立远程支持场所”：</w:t>
      </w:r>
    </w:p>
    <w:p w14:paraId="09598759">
      <w:pPr>
        <w:numPr>
          <w:ilvl w:val="0"/>
          <w:numId w:val="3"/>
        </w:numPr>
        <w:spacing w:line="360" w:lineRule="auto"/>
        <w:ind w:left="709" w:hanging="284"/>
        <w:rPr>
          <w:sz w:val="22"/>
          <w:szCs w:val="22"/>
          <w:highlight w:val="none"/>
        </w:rPr>
      </w:pPr>
      <w:r>
        <w:rPr>
          <w:rFonts w:hint="eastAsia"/>
          <w:sz w:val="22"/>
          <w:szCs w:val="22"/>
          <w:highlight w:val="none"/>
        </w:rPr>
        <w:t>“独立远程支持场所”应从初次认证审核开始，以及一系列持续的监督审核，不单独发证。</w:t>
      </w:r>
    </w:p>
    <w:p w14:paraId="4AAA24EB">
      <w:pPr>
        <w:numPr>
          <w:ilvl w:val="0"/>
          <w:numId w:val="3"/>
        </w:numPr>
        <w:spacing w:line="360" w:lineRule="auto"/>
        <w:ind w:left="709" w:hanging="284"/>
        <w:rPr>
          <w:sz w:val="22"/>
          <w:szCs w:val="22"/>
          <w:highlight w:val="none"/>
          <w:u w:val="single"/>
        </w:rPr>
      </w:pPr>
      <w:r>
        <w:rPr>
          <w:rFonts w:hint="eastAsia"/>
          <w:sz w:val="22"/>
          <w:szCs w:val="22"/>
          <w:highlight w:val="none"/>
        </w:rPr>
        <w:t>“独立远程支持场所”执行的支持功能，详情见单独签署的《IATF申请书》或已与乙方签订合同的某一（些）个制造现场的《IATF申请书》。</w:t>
      </w:r>
    </w:p>
    <w:p w14:paraId="7C571F10">
      <w:pPr>
        <w:numPr>
          <w:ilvl w:val="0"/>
          <w:numId w:val="3"/>
        </w:numPr>
        <w:spacing w:line="360" w:lineRule="auto"/>
        <w:ind w:left="709" w:hanging="284"/>
        <w:rPr>
          <w:sz w:val="22"/>
          <w:szCs w:val="22"/>
          <w:highlight w:val="none"/>
          <w:u w:val="single"/>
        </w:rPr>
      </w:pPr>
      <w:r>
        <w:rPr>
          <w:rFonts w:hint="eastAsia"/>
          <w:sz w:val="22"/>
          <w:szCs w:val="22"/>
          <w:highlight w:val="none"/>
        </w:rPr>
        <w:t>凡在合同条款中带*的均不适用于独立审核方案的“独立远程支持场所”。</w:t>
      </w:r>
      <w:bookmarkEnd w:id="0"/>
    </w:p>
    <w:p w14:paraId="354FA4E5">
      <w:pPr>
        <w:pStyle w:val="11"/>
        <w:numPr>
          <w:ilvl w:val="0"/>
          <w:numId w:val="1"/>
        </w:numPr>
        <w:spacing w:line="360" w:lineRule="auto"/>
        <w:ind w:firstLineChars="0"/>
        <w:rPr>
          <w:sz w:val="22"/>
          <w:szCs w:val="22"/>
          <w:highlight w:val="none"/>
        </w:rPr>
      </w:pPr>
      <w:r>
        <w:rPr>
          <w:rFonts w:hint="eastAsia"/>
          <w:b/>
          <w:bCs/>
          <w:sz w:val="22"/>
          <w:szCs w:val="22"/>
          <w:highlight w:val="none"/>
        </w:rPr>
        <w:t>管理体系认证（审核）项目的实施</w:t>
      </w:r>
    </w:p>
    <w:p w14:paraId="4B75B73D">
      <w:pPr>
        <w:pStyle w:val="11"/>
        <w:numPr>
          <w:ilvl w:val="0"/>
          <w:numId w:val="4"/>
        </w:numPr>
        <w:spacing w:line="360" w:lineRule="auto"/>
        <w:ind w:firstLineChars="0"/>
        <w:rPr>
          <w:sz w:val="22"/>
          <w:szCs w:val="22"/>
          <w:highlight w:val="none"/>
        </w:rPr>
      </w:pPr>
      <w:r>
        <w:rPr>
          <w:rFonts w:hint="eastAsia"/>
          <w:sz w:val="22"/>
          <w:szCs w:val="22"/>
          <w:highlight w:val="none"/>
        </w:rPr>
        <w:t>*乙方按认证程序对甲方进行认证审核，在确认管理体系符合合同约定的审核依据后，为甲方办理认证注册、发放或换发管理体系认证证书，初次发证的认证证书有效期为三年，</w:t>
      </w:r>
      <w:r>
        <w:rPr>
          <w:rFonts w:hint="eastAsia" w:ascii="宋体" w:hAnsi="宋体"/>
          <w:bCs/>
          <w:sz w:val="22"/>
          <w:szCs w:val="22"/>
          <w:highlight w:val="none"/>
        </w:rPr>
        <w:t>三年周期自初审认证</w:t>
      </w:r>
      <w:r>
        <w:rPr>
          <w:rFonts w:hint="eastAsia"/>
          <w:sz w:val="22"/>
          <w:szCs w:val="22"/>
          <w:highlight w:val="none"/>
        </w:rPr>
        <w:t>决定批准之日算起。再认证证书的生效日期从再认证或转移审核后的认证决定日开始，且认证决定应在现有证书到期日之前做出，认证决定日是新证书的发布日期。</w:t>
      </w:r>
    </w:p>
    <w:p w14:paraId="7E037506">
      <w:pPr>
        <w:pStyle w:val="11"/>
        <w:numPr>
          <w:ilvl w:val="0"/>
          <w:numId w:val="4"/>
        </w:numPr>
        <w:spacing w:line="360" w:lineRule="auto"/>
        <w:ind w:firstLineChars="0"/>
        <w:rPr>
          <w:sz w:val="22"/>
          <w:szCs w:val="22"/>
          <w:highlight w:val="none"/>
        </w:rPr>
      </w:pPr>
      <w:r>
        <w:rPr>
          <w:rFonts w:hint="eastAsia"/>
          <w:sz w:val="22"/>
          <w:szCs w:val="22"/>
          <w:highlight w:val="none"/>
        </w:rPr>
        <w:t>认证审核过程（认证程序）包括：</w:t>
      </w:r>
    </w:p>
    <w:p w14:paraId="65AD6D86">
      <w:pPr>
        <w:numPr>
          <w:ilvl w:val="0"/>
          <w:numId w:val="5"/>
        </w:numPr>
        <w:spacing w:line="360" w:lineRule="auto"/>
        <w:ind w:left="709" w:hanging="283"/>
        <w:rPr>
          <w:sz w:val="22"/>
          <w:szCs w:val="22"/>
          <w:highlight w:val="none"/>
        </w:rPr>
      </w:pPr>
      <w:r>
        <w:rPr>
          <w:rFonts w:hint="eastAsia"/>
          <w:sz w:val="22"/>
          <w:szCs w:val="22"/>
          <w:highlight w:val="none"/>
        </w:rPr>
        <w:t>管理体系文件评审。</w:t>
      </w:r>
    </w:p>
    <w:p w14:paraId="494FA1BE">
      <w:pPr>
        <w:numPr>
          <w:ilvl w:val="0"/>
          <w:numId w:val="5"/>
        </w:numPr>
        <w:spacing w:line="360" w:lineRule="auto"/>
        <w:ind w:left="709" w:hanging="283"/>
        <w:rPr>
          <w:sz w:val="22"/>
          <w:szCs w:val="22"/>
          <w:highlight w:val="none"/>
        </w:rPr>
      </w:pPr>
      <w:r>
        <w:rPr>
          <w:rFonts w:hint="eastAsia"/>
          <w:sz w:val="22"/>
          <w:szCs w:val="22"/>
          <w:highlight w:val="none"/>
        </w:rPr>
        <w:t>现场审核：包括初审或再认证，及证书有效期内的监督审核。</w:t>
      </w:r>
    </w:p>
    <w:p w14:paraId="0EFCDDBA">
      <w:pPr>
        <w:numPr>
          <w:ilvl w:val="0"/>
          <w:numId w:val="5"/>
        </w:numPr>
        <w:spacing w:line="360" w:lineRule="auto"/>
        <w:ind w:left="709" w:hanging="283"/>
        <w:rPr>
          <w:sz w:val="22"/>
          <w:szCs w:val="22"/>
          <w:highlight w:val="none"/>
        </w:rPr>
      </w:pPr>
      <w:r>
        <w:rPr>
          <w:rFonts w:hint="eastAsia"/>
          <w:sz w:val="22"/>
          <w:szCs w:val="22"/>
          <w:highlight w:val="none"/>
        </w:rPr>
        <w:t>*初审或再认证审核通过后的批准注册、颁发认证证书。</w:t>
      </w:r>
    </w:p>
    <w:p w14:paraId="15D2EB09">
      <w:pPr>
        <w:pStyle w:val="11"/>
        <w:numPr>
          <w:ilvl w:val="0"/>
          <w:numId w:val="4"/>
        </w:numPr>
        <w:spacing w:line="360" w:lineRule="auto"/>
        <w:ind w:firstLineChars="0"/>
        <w:rPr>
          <w:sz w:val="22"/>
          <w:szCs w:val="22"/>
          <w:highlight w:val="none"/>
        </w:rPr>
      </w:pPr>
      <w:r>
        <w:rPr>
          <w:rFonts w:hint="eastAsia" w:ascii="宋体" w:hAnsi="宋体"/>
          <w:bCs/>
          <w:sz w:val="22"/>
          <w:szCs w:val="22"/>
          <w:highlight w:val="none"/>
        </w:rPr>
        <w:t>现场审核应在甲方管理体系覆盖的活动处于正常运行期间进行，</w:t>
      </w:r>
      <w:r>
        <w:rPr>
          <w:rFonts w:hint="eastAsia"/>
          <w:sz w:val="22"/>
          <w:szCs w:val="22"/>
          <w:highlight w:val="none"/>
        </w:rPr>
        <w:t>进行现场审核的时机及条件：</w:t>
      </w:r>
    </w:p>
    <w:p w14:paraId="578F702A">
      <w:pPr>
        <w:numPr>
          <w:ilvl w:val="0"/>
          <w:numId w:val="6"/>
        </w:numPr>
        <w:spacing w:line="360" w:lineRule="auto"/>
        <w:ind w:left="851"/>
        <w:rPr>
          <w:sz w:val="22"/>
          <w:szCs w:val="22"/>
          <w:highlight w:val="none"/>
        </w:rPr>
      </w:pPr>
      <w:r>
        <w:rPr>
          <w:rFonts w:hint="eastAsia"/>
          <w:sz w:val="22"/>
          <w:szCs w:val="22"/>
          <w:highlight w:val="none"/>
        </w:rPr>
        <w:t>*初审：甲方向乙方提交管理体系文件，并保证汽车顾客相关产品的生产不少于12个月。</w:t>
      </w:r>
    </w:p>
    <w:p w14:paraId="34CEE86E">
      <w:pPr>
        <w:numPr>
          <w:ilvl w:val="0"/>
          <w:numId w:val="6"/>
        </w:numPr>
        <w:spacing w:line="360" w:lineRule="auto"/>
        <w:ind w:left="851"/>
        <w:rPr>
          <w:sz w:val="22"/>
          <w:szCs w:val="22"/>
          <w:highlight w:val="none"/>
        </w:rPr>
      </w:pPr>
      <w:r>
        <w:rPr>
          <w:rFonts w:hint="eastAsia"/>
          <w:sz w:val="22"/>
          <w:szCs w:val="22"/>
          <w:highlight w:val="none"/>
        </w:rPr>
        <w:t>监督审核：甲方的监督审核间隔为12个月，所有监督审核均从初审第二阶段/再认证/转移审核的末次会议日开始计算。每3年周期审核2次，执行并完成监督审核的时间窗口以12个月为基础（-3月，+3个月）。</w:t>
      </w:r>
    </w:p>
    <w:p w14:paraId="00B79064">
      <w:pPr>
        <w:numPr>
          <w:ilvl w:val="0"/>
          <w:numId w:val="6"/>
        </w:numPr>
        <w:spacing w:line="360" w:lineRule="auto"/>
        <w:ind w:left="851"/>
        <w:rPr>
          <w:rFonts w:hint="eastAsia"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*再认证：第一次再认证的日期不应超过从初次第二阶段审核最后一天开始的三年（-3月，+0天），其后再认证审核的最后一天不得超过前一次再认证审核最后一天的三年（-3月，+0天）</w:t>
      </w:r>
    </w:p>
    <w:p w14:paraId="1D2B0A4C">
      <w:pPr>
        <w:numPr>
          <w:ilvl w:val="0"/>
          <w:numId w:val="6"/>
        </w:numPr>
        <w:spacing w:line="360" w:lineRule="auto"/>
        <w:ind w:left="851"/>
        <w:rPr>
          <w:sz w:val="22"/>
          <w:szCs w:val="22"/>
          <w:highlight w:val="none"/>
        </w:rPr>
      </w:pPr>
      <w:r>
        <w:rPr>
          <w:rFonts w:hint="eastAsia"/>
          <w:sz w:val="22"/>
          <w:szCs w:val="22"/>
          <w:highlight w:val="none"/>
        </w:rPr>
        <w:t>上述</w:t>
      </w:r>
      <w:r>
        <w:rPr>
          <w:rFonts w:hint="eastAsia" w:ascii="宋体" w:hAnsi="宋体"/>
          <w:sz w:val="22"/>
          <w:szCs w:val="22"/>
          <w:highlight w:val="none"/>
        </w:rPr>
        <w:t>2）至3）</w:t>
      </w:r>
      <w:r>
        <w:rPr>
          <w:rFonts w:hint="eastAsia"/>
          <w:sz w:val="22"/>
          <w:szCs w:val="22"/>
          <w:highlight w:val="none"/>
        </w:rPr>
        <w:t>项的审核如果未在规定的窗口执行并完成，甲方应从初次认证审核重新开始。</w:t>
      </w:r>
    </w:p>
    <w:p w14:paraId="1736C168">
      <w:pPr>
        <w:pStyle w:val="11"/>
        <w:numPr>
          <w:ilvl w:val="0"/>
          <w:numId w:val="1"/>
        </w:numPr>
        <w:spacing w:line="360" w:lineRule="auto"/>
        <w:ind w:firstLineChars="0"/>
        <w:rPr>
          <w:sz w:val="22"/>
          <w:szCs w:val="22"/>
          <w:highlight w:val="none"/>
        </w:rPr>
      </w:pPr>
      <w:r>
        <w:rPr>
          <w:rFonts w:hint="eastAsia"/>
          <w:b/>
          <w:bCs/>
          <w:sz w:val="22"/>
          <w:szCs w:val="22"/>
          <w:highlight w:val="none"/>
        </w:rPr>
        <w:t>项目费用</w:t>
      </w:r>
      <w:r>
        <w:rPr>
          <w:rFonts w:hint="eastAsia"/>
          <w:sz w:val="22"/>
          <w:szCs w:val="22"/>
          <w:highlight w:val="none"/>
        </w:rPr>
        <w:t>（人民币）</w:t>
      </w:r>
    </w:p>
    <w:p w14:paraId="2AA66FD0">
      <w:pPr>
        <w:pStyle w:val="11"/>
        <w:numPr>
          <w:ilvl w:val="0"/>
          <w:numId w:val="7"/>
        </w:numPr>
        <w:spacing w:line="360" w:lineRule="auto"/>
        <w:ind w:firstLineChars="0"/>
        <w:rPr>
          <w:sz w:val="22"/>
          <w:szCs w:val="22"/>
          <w:highlight w:val="none"/>
        </w:rPr>
      </w:pPr>
      <w:r>
        <w:rPr>
          <w:rFonts w:hint="eastAsia"/>
          <w:sz w:val="22"/>
          <w:szCs w:val="22"/>
          <w:highlight w:val="none"/>
        </w:rPr>
        <w:t>甲方应向乙方交付以下费用（初审或再认证/转移审核）</w:t>
      </w:r>
    </w:p>
    <w:p w14:paraId="4E1C4329">
      <w:pPr>
        <w:numPr>
          <w:ilvl w:val="0"/>
          <w:numId w:val="8"/>
        </w:numPr>
        <w:spacing w:line="360" w:lineRule="auto"/>
        <w:ind w:left="851"/>
        <w:rPr>
          <w:sz w:val="22"/>
          <w:szCs w:val="22"/>
          <w:highlight w:val="none"/>
        </w:rPr>
      </w:pPr>
      <w:r>
        <w:rPr>
          <w:rFonts w:hint="eastAsia"/>
          <w:sz w:val="22"/>
          <w:szCs w:val="22"/>
          <w:highlight w:val="none"/>
        </w:rPr>
        <w:t>初次/再认证/转移审核</w:t>
      </w:r>
    </w:p>
    <w:p w14:paraId="2D494DC1">
      <w:pPr>
        <w:pStyle w:val="11"/>
        <w:numPr>
          <w:ilvl w:val="0"/>
          <w:numId w:val="9"/>
        </w:numPr>
        <w:spacing w:line="360" w:lineRule="auto"/>
        <w:ind w:left="993" w:firstLineChars="0"/>
        <w:rPr>
          <w:sz w:val="22"/>
          <w:szCs w:val="22"/>
          <w:highlight w:val="none"/>
        </w:rPr>
      </w:pPr>
      <w:r>
        <w:rPr>
          <w:rFonts w:hint="eastAsia"/>
          <w:sz w:val="22"/>
          <w:szCs w:val="22"/>
          <w:highlight w:val="none"/>
        </w:rPr>
        <w:t xml:space="preserve">认证（审核）费用：                         </w:t>
      </w:r>
      <w:permStart w:id="19" w:edGrp="everyone"/>
      <w:r>
        <w:rPr>
          <w:rFonts w:hint="eastAsia"/>
          <w:sz w:val="22"/>
          <w:szCs w:val="22"/>
          <w:highlight w:val="none"/>
          <w:u w:val="single"/>
        </w:rPr>
        <w:t xml:space="preserve">                </w:t>
      </w:r>
      <w:permEnd w:id="19"/>
      <w:r>
        <w:rPr>
          <w:rFonts w:hint="eastAsia"/>
          <w:sz w:val="22"/>
          <w:szCs w:val="22"/>
          <w:highlight w:val="none"/>
        </w:rPr>
        <w:t>元</w:t>
      </w:r>
    </w:p>
    <w:p w14:paraId="7038BCC7">
      <w:pPr>
        <w:pStyle w:val="11"/>
        <w:numPr>
          <w:ilvl w:val="0"/>
          <w:numId w:val="9"/>
        </w:numPr>
        <w:spacing w:line="360" w:lineRule="auto"/>
        <w:ind w:left="993" w:firstLineChars="0"/>
        <w:rPr>
          <w:sz w:val="22"/>
          <w:szCs w:val="22"/>
          <w:highlight w:val="none"/>
        </w:rPr>
      </w:pPr>
      <w:r>
        <w:rPr>
          <w:rFonts w:hint="eastAsia"/>
          <w:sz w:val="22"/>
          <w:szCs w:val="22"/>
          <w:highlight w:val="none"/>
        </w:rPr>
        <w:t>*证书费用</w:t>
      </w:r>
    </w:p>
    <w:p w14:paraId="4BAF0C10">
      <w:pPr>
        <w:pStyle w:val="11"/>
        <w:spacing w:line="360" w:lineRule="auto"/>
        <w:ind w:left="993" w:firstLine="0" w:firstLineChars="0"/>
        <w:rPr>
          <w:sz w:val="22"/>
          <w:szCs w:val="22"/>
          <w:highlight w:val="none"/>
        </w:rPr>
      </w:pPr>
      <w:r>
        <w:rPr>
          <w:rFonts w:hint="eastAsia"/>
          <w:sz w:val="22"/>
          <w:szCs w:val="22"/>
          <w:highlight w:val="none"/>
        </w:rPr>
        <w:t>英文证书</w:t>
      </w:r>
      <w:permStart w:id="20" w:edGrp="everyone"/>
      <w:r>
        <w:rPr>
          <w:rFonts w:hint="eastAsia"/>
          <w:sz w:val="22"/>
          <w:szCs w:val="22"/>
          <w:highlight w:val="none"/>
          <w:u w:val="single"/>
        </w:rPr>
        <w:t xml:space="preserve">       </w:t>
      </w:r>
      <w:permEnd w:id="20"/>
      <w:r>
        <w:rPr>
          <w:rFonts w:hint="eastAsia"/>
          <w:sz w:val="22"/>
          <w:szCs w:val="22"/>
          <w:highlight w:val="none"/>
        </w:rPr>
        <w:t xml:space="preserve">张（可选）                  </w:t>
      </w:r>
      <w:permStart w:id="21" w:edGrp="everyone"/>
      <w:r>
        <w:rPr>
          <w:rFonts w:hint="eastAsia"/>
          <w:sz w:val="22"/>
          <w:szCs w:val="22"/>
          <w:highlight w:val="none"/>
          <w:u w:val="single"/>
        </w:rPr>
        <w:t xml:space="preserve">                </w:t>
      </w:r>
      <w:permEnd w:id="21"/>
      <w:r>
        <w:rPr>
          <w:rFonts w:hint="eastAsia"/>
          <w:sz w:val="22"/>
          <w:szCs w:val="22"/>
          <w:highlight w:val="none"/>
        </w:rPr>
        <w:t>元</w:t>
      </w:r>
    </w:p>
    <w:p w14:paraId="156E9FB3">
      <w:pPr>
        <w:pStyle w:val="11"/>
        <w:spacing w:line="360" w:lineRule="auto"/>
        <w:ind w:left="993" w:firstLine="0" w:firstLineChars="0"/>
        <w:rPr>
          <w:sz w:val="22"/>
          <w:szCs w:val="22"/>
          <w:highlight w:val="none"/>
        </w:rPr>
      </w:pPr>
      <w:r>
        <w:rPr>
          <w:rFonts w:hint="eastAsia"/>
          <w:sz w:val="22"/>
          <w:szCs w:val="22"/>
          <w:highlight w:val="none"/>
        </w:rPr>
        <w:t>中文证书</w:t>
      </w:r>
      <w:permStart w:id="22" w:edGrp="everyone"/>
      <w:r>
        <w:rPr>
          <w:rFonts w:hint="eastAsia"/>
          <w:sz w:val="22"/>
          <w:szCs w:val="22"/>
          <w:highlight w:val="none"/>
          <w:u w:val="single"/>
        </w:rPr>
        <w:t xml:space="preserve">       </w:t>
      </w:r>
      <w:permEnd w:id="22"/>
      <w:r>
        <w:rPr>
          <w:rFonts w:hint="eastAsia"/>
          <w:sz w:val="22"/>
          <w:szCs w:val="22"/>
          <w:highlight w:val="none"/>
        </w:rPr>
        <w:t xml:space="preserve">张（可选）                  </w:t>
      </w:r>
      <w:permStart w:id="23" w:edGrp="everyone"/>
      <w:r>
        <w:rPr>
          <w:rFonts w:hint="eastAsia"/>
          <w:sz w:val="22"/>
          <w:szCs w:val="22"/>
          <w:highlight w:val="none"/>
          <w:u w:val="single"/>
        </w:rPr>
        <w:t xml:space="preserve">                </w:t>
      </w:r>
      <w:permEnd w:id="23"/>
      <w:r>
        <w:rPr>
          <w:rFonts w:hint="eastAsia"/>
          <w:sz w:val="22"/>
          <w:szCs w:val="22"/>
          <w:highlight w:val="none"/>
        </w:rPr>
        <w:t>元</w:t>
      </w:r>
    </w:p>
    <w:p w14:paraId="4FF1605B">
      <w:pPr>
        <w:numPr>
          <w:ilvl w:val="0"/>
          <w:numId w:val="8"/>
        </w:numPr>
        <w:spacing w:line="360" w:lineRule="auto"/>
        <w:ind w:left="851"/>
        <w:rPr>
          <w:sz w:val="22"/>
          <w:szCs w:val="22"/>
          <w:highlight w:val="none"/>
        </w:rPr>
      </w:pPr>
      <w:r>
        <w:rPr>
          <w:rFonts w:hint="eastAsia"/>
          <w:sz w:val="22"/>
          <w:szCs w:val="22"/>
          <w:highlight w:val="none"/>
        </w:rPr>
        <w:t>监督审核</w:t>
      </w:r>
    </w:p>
    <w:p w14:paraId="7A0A6416">
      <w:pPr>
        <w:spacing w:line="360" w:lineRule="auto"/>
        <w:ind w:left="851"/>
        <w:rPr>
          <w:sz w:val="22"/>
          <w:szCs w:val="22"/>
          <w:highlight w:val="none"/>
        </w:rPr>
      </w:pPr>
      <w:r>
        <w:rPr>
          <w:rFonts w:hint="eastAsia"/>
          <w:sz w:val="22"/>
          <w:szCs w:val="22"/>
          <w:highlight w:val="none"/>
        </w:rPr>
        <w:t xml:space="preserve">认证费用第一次                             </w:t>
      </w:r>
      <w:permStart w:id="24" w:edGrp="everyone"/>
      <w:r>
        <w:rPr>
          <w:rFonts w:hint="eastAsia"/>
          <w:sz w:val="22"/>
          <w:szCs w:val="22"/>
          <w:highlight w:val="none"/>
          <w:u w:val="single"/>
        </w:rPr>
        <w:t xml:space="preserve">                </w:t>
      </w:r>
      <w:permEnd w:id="24"/>
      <w:r>
        <w:rPr>
          <w:rFonts w:hint="eastAsia"/>
          <w:sz w:val="22"/>
          <w:szCs w:val="22"/>
          <w:highlight w:val="none"/>
        </w:rPr>
        <w:t>元</w:t>
      </w:r>
    </w:p>
    <w:p w14:paraId="7BAEA8CF">
      <w:pPr>
        <w:spacing w:line="360" w:lineRule="auto"/>
        <w:ind w:left="851"/>
        <w:rPr>
          <w:sz w:val="22"/>
          <w:szCs w:val="22"/>
          <w:highlight w:val="none"/>
        </w:rPr>
      </w:pPr>
      <w:r>
        <w:rPr>
          <w:rFonts w:hint="eastAsia"/>
          <w:sz w:val="22"/>
          <w:szCs w:val="22"/>
          <w:highlight w:val="none"/>
        </w:rPr>
        <w:t xml:space="preserve">认证费用第二次                             </w:t>
      </w:r>
      <w:permStart w:id="25" w:edGrp="everyone"/>
      <w:r>
        <w:rPr>
          <w:rFonts w:hint="eastAsia"/>
          <w:sz w:val="22"/>
          <w:szCs w:val="22"/>
          <w:highlight w:val="none"/>
          <w:u w:val="single"/>
        </w:rPr>
        <w:t xml:space="preserve">                </w:t>
      </w:r>
      <w:permEnd w:id="25"/>
      <w:r>
        <w:rPr>
          <w:rFonts w:hint="eastAsia"/>
          <w:sz w:val="22"/>
          <w:szCs w:val="22"/>
          <w:highlight w:val="none"/>
        </w:rPr>
        <w:t>元</w:t>
      </w:r>
    </w:p>
    <w:p w14:paraId="768F011C">
      <w:pPr>
        <w:pStyle w:val="11"/>
        <w:numPr>
          <w:ilvl w:val="0"/>
          <w:numId w:val="7"/>
        </w:numPr>
        <w:spacing w:line="360" w:lineRule="auto"/>
        <w:ind w:firstLineChars="0"/>
        <w:rPr>
          <w:sz w:val="22"/>
          <w:szCs w:val="22"/>
          <w:highlight w:val="none"/>
        </w:rPr>
      </w:pPr>
      <w:r>
        <w:rPr>
          <w:rFonts w:hint="eastAsia"/>
          <w:sz w:val="22"/>
          <w:szCs w:val="22"/>
          <w:highlight w:val="none"/>
        </w:rPr>
        <w:t>本合同自签定之日起30日内由甲方支付给乙方初次审核的全部费用的50%，审核费的剩余部分应在现场审核前一次付清；甲方申请再认证审核时，应一次性支付再认证审核费；监督和再认证的审核费用应在每次审核90日前一次付清。</w:t>
      </w:r>
    </w:p>
    <w:p w14:paraId="672A8F5F">
      <w:pPr>
        <w:pStyle w:val="11"/>
        <w:numPr>
          <w:ilvl w:val="0"/>
          <w:numId w:val="7"/>
        </w:numPr>
        <w:spacing w:line="360" w:lineRule="auto"/>
        <w:ind w:firstLineChars="0"/>
        <w:rPr>
          <w:sz w:val="22"/>
          <w:szCs w:val="22"/>
          <w:highlight w:val="none"/>
        </w:rPr>
      </w:pPr>
      <w:r>
        <w:rPr>
          <w:rFonts w:hint="eastAsia"/>
          <w:sz w:val="22"/>
          <w:szCs w:val="22"/>
          <w:highlight w:val="none"/>
        </w:rPr>
        <w:t>乙方派出的</w:t>
      </w:r>
      <w:bookmarkStart w:id="2" w:name="_Hlk162390930"/>
      <w:bookmarkStart w:id="3" w:name="_Hlk162391353"/>
      <w:r>
        <w:rPr>
          <w:rFonts w:hint="eastAsia"/>
          <w:sz w:val="22"/>
          <w:szCs w:val="22"/>
          <w:highlight w:val="none"/>
        </w:rPr>
        <w:t>审核人员</w:t>
      </w:r>
      <w:bookmarkEnd w:id="2"/>
      <w:r>
        <w:rPr>
          <w:rFonts w:hint="eastAsia"/>
          <w:sz w:val="22"/>
          <w:szCs w:val="22"/>
          <w:highlight w:val="none"/>
        </w:rPr>
        <w:t>的食宿交通差旅费</w:t>
      </w:r>
      <w:bookmarkEnd w:id="3"/>
      <w:r>
        <w:rPr>
          <w:rFonts w:hint="eastAsia"/>
          <w:sz w:val="22"/>
          <w:szCs w:val="22"/>
          <w:highlight w:val="none"/>
        </w:rPr>
        <w:t>由甲方承担，并且由甲方将差旅费支付给乙方。乙方的审核人员将差旅费在乙方申请报销（依据IATF于2024年1月发行的第001号利益相关方公告主题为《审核员费用报销》的相关要求，乙方审核员在审核过程中的差旅费用（包括往返交通费、住宿费、餐饮费等）均由审核员在乙方进行报销）。审核人员差旅费具体金额的确定方式为：乙方现场审核组在审核时，提供“差旅费用确认单”给甲方，甲方人员对相关费用进行核对并确认，确认无误后，甲乙双方的人员在“差旅费用确认单”上签字确认，该</w:t>
      </w:r>
      <w:bookmarkStart w:id="4" w:name="_Hlk162391814"/>
      <w:r>
        <w:rPr>
          <w:rFonts w:hint="eastAsia"/>
          <w:sz w:val="22"/>
          <w:szCs w:val="22"/>
          <w:highlight w:val="none"/>
        </w:rPr>
        <w:t>签字后的“差旅费用确认单”</w:t>
      </w:r>
      <w:bookmarkEnd w:id="4"/>
      <w:r>
        <w:rPr>
          <w:rFonts w:hint="eastAsia"/>
          <w:sz w:val="22"/>
          <w:szCs w:val="22"/>
          <w:highlight w:val="none"/>
        </w:rPr>
        <w:t>将作为本合同的附件，与合同具有同等法律效力，且甲方应在审核人员完成审核后的5个工作日内，按照“差旅费用确认单”中金额将差旅费支付给乙方（该差旅费按照税务局的规定应加收6%的增值税）。</w:t>
      </w:r>
    </w:p>
    <w:p w14:paraId="66CB279F">
      <w:pPr>
        <w:pStyle w:val="11"/>
        <w:numPr>
          <w:ilvl w:val="0"/>
          <w:numId w:val="7"/>
        </w:numPr>
        <w:spacing w:line="360" w:lineRule="auto"/>
        <w:ind w:firstLineChars="0"/>
        <w:rPr>
          <w:sz w:val="22"/>
          <w:szCs w:val="22"/>
          <w:highlight w:val="none"/>
        </w:rPr>
      </w:pPr>
      <w:r>
        <w:rPr>
          <w:rFonts w:hint="eastAsia"/>
          <w:sz w:val="22"/>
          <w:szCs w:val="22"/>
          <w:highlight w:val="none"/>
        </w:rPr>
        <w:t>由于责任方原因造成审核时间或费用的增加，其增加部分的费用应由责任方承担。如果甲方是IATF OEM的一级供应商，在审核前12个月内或自上一次审核以来，不能达成IATF OEM记分卡内规定的质量和/或交付目标，乙方将按规则要求增加总的审核时间（适用于所有类型的现场审核）。</w:t>
      </w:r>
    </w:p>
    <w:p w14:paraId="1ABBDF1F">
      <w:pPr>
        <w:pStyle w:val="11"/>
        <w:numPr>
          <w:ilvl w:val="0"/>
          <w:numId w:val="7"/>
        </w:numPr>
        <w:spacing w:line="360" w:lineRule="auto"/>
        <w:ind w:firstLineChars="0"/>
        <w:rPr>
          <w:sz w:val="22"/>
          <w:szCs w:val="22"/>
          <w:highlight w:val="none"/>
        </w:rPr>
      </w:pPr>
      <w:r>
        <w:rPr>
          <w:rFonts w:hint="eastAsia"/>
          <w:sz w:val="22"/>
          <w:szCs w:val="22"/>
          <w:highlight w:val="none"/>
        </w:rPr>
        <w:t xml:space="preserve">审核组工作语言为中文，因增加翻译而造成审核时间或费用的增加，其增加部分应由甲方承担。 </w:t>
      </w:r>
    </w:p>
    <w:p w14:paraId="346B725E">
      <w:pPr>
        <w:pStyle w:val="11"/>
        <w:numPr>
          <w:ilvl w:val="0"/>
          <w:numId w:val="7"/>
        </w:numPr>
        <w:spacing w:line="360" w:lineRule="auto"/>
        <w:ind w:firstLineChars="0"/>
        <w:rPr>
          <w:sz w:val="22"/>
          <w:szCs w:val="22"/>
          <w:highlight w:val="none"/>
        </w:rPr>
      </w:pPr>
      <w:r>
        <w:rPr>
          <w:rFonts w:hint="eastAsia"/>
          <w:sz w:val="22"/>
          <w:szCs w:val="22"/>
          <w:highlight w:val="none"/>
        </w:rPr>
        <w:t>*如果制造现场的一部分专门用于汽车，则在以下条件满足的情况下，该部分的员工人数可用于确定最少审核人日：</w:t>
      </w:r>
    </w:p>
    <w:p w14:paraId="190F4C47">
      <w:pPr>
        <w:numPr>
          <w:ilvl w:val="0"/>
          <w:numId w:val="10"/>
        </w:numPr>
        <w:spacing w:line="360" w:lineRule="auto"/>
        <w:ind w:left="851"/>
        <w:rPr>
          <w:sz w:val="22"/>
          <w:szCs w:val="22"/>
          <w:highlight w:val="none"/>
        </w:rPr>
      </w:pPr>
      <w:r>
        <w:rPr>
          <w:rFonts w:hint="eastAsia"/>
          <w:sz w:val="22"/>
          <w:szCs w:val="22"/>
          <w:highlight w:val="none"/>
        </w:rPr>
        <w:t>在签署合同和/或协议之前依据准则要求获得了批准。</w:t>
      </w:r>
    </w:p>
    <w:p w14:paraId="7AEE083F">
      <w:pPr>
        <w:numPr>
          <w:ilvl w:val="0"/>
          <w:numId w:val="10"/>
        </w:numPr>
        <w:spacing w:line="360" w:lineRule="auto"/>
        <w:ind w:left="851"/>
        <w:rPr>
          <w:sz w:val="22"/>
          <w:szCs w:val="22"/>
          <w:highlight w:val="none"/>
        </w:rPr>
      </w:pPr>
      <w:r>
        <w:rPr>
          <w:rFonts w:hint="eastAsia"/>
          <w:sz w:val="22"/>
          <w:szCs w:val="22"/>
          <w:highlight w:val="none"/>
        </w:rPr>
        <w:t>汽车制造车间与非汽车制造有物理隔离（例如，单独的建筑，汽车和非汽车生产线/机器之间有永久屏障, 没有共享的设备、工装、生产线等)。</w:t>
      </w:r>
    </w:p>
    <w:p w14:paraId="18BF4B88">
      <w:pPr>
        <w:numPr>
          <w:ilvl w:val="0"/>
          <w:numId w:val="10"/>
        </w:numPr>
        <w:spacing w:line="360" w:lineRule="auto"/>
        <w:ind w:left="851"/>
        <w:rPr>
          <w:sz w:val="22"/>
          <w:szCs w:val="22"/>
          <w:highlight w:val="none"/>
        </w:rPr>
      </w:pPr>
      <w:r>
        <w:rPr>
          <w:rFonts w:hint="eastAsia"/>
          <w:sz w:val="22"/>
          <w:szCs w:val="22"/>
          <w:highlight w:val="none"/>
        </w:rPr>
        <w:t>在汽车制造车间中工作的人员接受相关培训并主要致力于在汽车制造车间中工作，而非汽车人员不在汽车制造车间中工作。</w:t>
      </w:r>
    </w:p>
    <w:p w14:paraId="7DC15095">
      <w:pPr>
        <w:numPr>
          <w:ilvl w:val="0"/>
          <w:numId w:val="10"/>
        </w:numPr>
        <w:spacing w:line="360" w:lineRule="auto"/>
        <w:ind w:left="851"/>
        <w:rPr>
          <w:sz w:val="22"/>
          <w:szCs w:val="22"/>
          <w:highlight w:val="none"/>
        </w:rPr>
      </w:pPr>
      <w:r>
        <w:rPr>
          <w:rFonts w:hint="eastAsia"/>
          <w:sz w:val="22"/>
          <w:szCs w:val="22"/>
          <w:highlight w:val="none"/>
        </w:rPr>
        <w:t>支持活动员工人数至少应采用相同的员工比例(汽车制造人员除以所有制造人员)。</w:t>
      </w:r>
    </w:p>
    <w:p w14:paraId="7C3D5C76">
      <w:pPr>
        <w:pStyle w:val="11"/>
        <w:numPr>
          <w:ilvl w:val="0"/>
          <w:numId w:val="7"/>
        </w:numPr>
        <w:spacing w:line="360" w:lineRule="auto"/>
        <w:ind w:firstLineChars="0"/>
        <w:rPr>
          <w:sz w:val="22"/>
          <w:szCs w:val="22"/>
          <w:highlight w:val="none"/>
          <w:u w:val="single"/>
        </w:rPr>
      </w:pPr>
      <w:r>
        <w:rPr>
          <w:rFonts w:hint="eastAsia"/>
          <w:sz w:val="22"/>
          <w:szCs w:val="22"/>
          <w:highlight w:val="none"/>
        </w:rPr>
        <w:t xml:space="preserve">其它要求 </w:t>
      </w:r>
      <w:permStart w:id="26" w:edGrp="everyone"/>
      <w:r>
        <w:rPr>
          <w:rFonts w:hint="eastAsia"/>
          <w:sz w:val="22"/>
          <w:szCs w:val="22"/>
          <w:highlight w:val="none"/>
          <w:u w:val="single"/>
        </w:rPr>
        <w:t xml:space="preserve">                                                                          </w:t>
      </w:r>
      <w:permEnd w:id="26"/>
    </w:p>
    <w:p w14:paraId="59111047">
      <w:pPr>
        <w:pStyle w:val="11"/>
        <w:numPr>
          <w:ilvl w:val="0"/>
          <w:numId w:val="1"/>
        </w:numPr>
        <w:spacing w:line="360" w:lineRule="auto"/>
        <w:ind w:firstLineChars="0"/>
        <w:rPr>
          <w:b/>
          <w:bCs/>
          <w:sz w:val="22"/>
          <w:szCs w:val="22"/>
          <w:highlight w:val="none"/>
        </w:rPr>
      </w:pPr>
      <w:r>
        <w:rPr>
          <w:rFonts w:hint="eastAsia"/>
          <w:b/>
          <w:bCs/>
          <w:sz w:val="22"/>
          <w:szCs w:val="22"/>
          <w:highlight w:val="none"/>
        </w:rPr>
        <w:t>合同双方的权利和义务</w:t>
      </w:r>
    </w:p>
    <w:p w14:paraId="7EAA65E8">
      <w:pPr>
        <w:pStyle w:val="11"/>
        <w:numPr>
          <w:ilvl w:val="0"/>
          <w:numId w:val="11"/>
        </w:numPr>
        <w:spacing w:line="360" w:lineRule="auto"/>
        <w:ind w:firstLineChars="0"/>
        <w:rPr>
          <w:sz w:val="22"/>
          <w:szCs w:val="22"/>
          <w:highlight w:val="none"/>
        </w:rPr>
      </w:pPr>
      <w:r>
        <w:rPr>
          <w:rFonts w:hint="eastAsia"/>
          <w:sz w:val="22"/>
          <w:szCs w:val="22"/>
          <w:highlight w:val="none"/>
        </w:rPr>
        <w:t>甲方的权利义务：</w:t>
      </w:r>
    </w:p>
    <w:p w14:paraId="6A14679F">
      <w:pPr>
        <w:pStyle w:val="11"/>
        <w:numPr>
          <w:ilvl w:val="1"/>
          <w:numId w:val="12"/>
        </w:numPr>
        <w:spacing w:line="360" w:lineRule="auto"/>
        <w:ind w:left="851" w:hanging="425" w:firstLineChars="0"/>
        <w:rPr>
          <w:sz w:val="22"/>
          <w:szCs w:val="22"/>
          <w:highlight w:val="none"/>
        </w:rPr>
      </w:pPr>
      <w:r>
        <w:rPr>
          <w:rFonts w:hint="eastAsia"/>
          <w:sz w:val="22"/>
          <w:szCs w:val="22"/>
          <w:highlight w:val="none"/>
        </w:rPr>
        <w:t>权利：</w:t>
      </w:r>
    </w:p>
    <w:p w14:paraId="2BD81FCC">
      <w:pPr>
        <w:numPr>
          <w:ilvl w:val="0"/>
          <w:numId w:val="13"/>
        </w:numPr>
        <w:spacing w:line="360" w:lineRule="auto"/>
        <w:ind w:left="851"/>
        <w:rPr>
          <w:sz w:val="22"/>
          <w:szCs w:val="22"/>
          <w:highlight w:val="none"/>
        </w:rPr>
      </w:pPr>
      <w:r>
        <w:rPr>
          <w:rFonts w:hint="eastAsia"/>
          <w:sz w:val="22"/>
          <w:szCs w:val="22"/>
          <w:highlight w:val="none"/>
        </w:rPr>
        <w:t>有权在符合有关法律法规及相关要求的前提下，提出管理体系认证范围的申请。</w:t>
      </w:r>
    </w:p>
    <w:p w14:paraId="1D489134">
      <w:pPr>
        <w:numPr>
          <w:ilvl w:val="0"/>
          <w:numId w:val="13"/>
        </w:numPr>
        <w:spacing w:line="360" w:lineRule="auto"/>
        <w:ind w:left="851"/>
        <w:rPr>
          <w:sz w:val="22"/>
          <w:szCs w:val="22"/>
          <w:highlight w:val="none"/>
        </w:rPr>
      </w:pPr>
      <w:r>
        <w:rPr>
          <w:rFonts w:hint="eastAsia"/>
          <w:sz w:val="22"/>
          <w:szCs w:val="22"/>
          <w:highlight w:val="none"/>
        </w:rPr>
        <w:t>有权对乙方在认证服务过程或活动中的违规行为提出申诉或投诉。</w:t>
      </w:r>
    </w:p>
    <w:p w14:paraId="03F7454C">
      <w:pPr>
        <w:pStyle w:val="11"/>
        <w:numPr>
          <w:ilvl w:val="1"/>
          <w:numId w:val="12"/>
        </w:numPr>
        <w:spacing w:line="360" w:lineRule="auto"/>
        <w:ind w:left="851" w:hanging="425" w:firstLineChars="0"/>
        <w:rPr>
          <w:sz w:val="22"/>
          <w:szCs w:val="22"/>
          <w:highlight w:val="none"/>
        </w:rPr>
      </w:pPr>
      <w:r>
        <w:rPr>
          <w:rFonts w:hint="eastAsia"/>
          <w:sz w:val="22"/>
          <w:szCs w:val="22"/>
          <w:highlight w:val="none"/>
        </w:rPr>
        <w:t>义务：</w:t>
      </w:r>
    </w:p>
    <w:p w14:paraId="402A1A13">
      <w:pPr>
        <w:numPr>
          <w:ilvl w:val="0"/>
          <w:numId w:val="14"/>
        </w:numPr>
        <w:spacing w:line="360" w:lineRule="auto"/>
        <w:ind w:left="851"/>
        <w:rPr>
          <w:sz w:val="22"/>
          <w:szCs w:val="22"/>
          <w:highlight w:val="none"/>
        </w:rPr>
      </w:pPr>
      <w:bookmarkStart w:id="5" w:name="OLE_LINK8"/>
      <w:r>
        <w:rPr>
          <w:rFonts w:hint="eastAsia"/>
          <w:sz w:val="22"/>
          <w:szCs w:val="22"/>
          <w:highlight w:val="none"/>
        </w:rPr>
        <w:t>遵守法律法规及认证的有关规定（见乙方提供的公开文件），遵守《NQA与注册有关的规定》。</w:t>
      </w:r>
    </w:p>
    <w:bookmarkEnd w:id="5"/>
    <w:p w14:paraId="2A371DDA">
      <w:pPr>
        <w:numPr>
          <w:ilvl w:val="0"/>
          <w:numId w:val="14"/>
        </w:numPr>
        <w:spacing w:line="360" w:lineRule="auto"/>
        <w:ind w:left="851"/>
        <w:rPr>
          <w:sz w:val="22"/>
          <w:szCs w:val="22"/>
          <w:highlight w:val="none"/>
        </w:rPr>
      </w:pPr>
      <w:r>
        <w:rPr>
          <w:rFonts w:hint="eastAsia"/>
          <w:sz w:val="22"/>
          <w:szCs w:val="22"/>
          <w:highlight w:val="none"/>
        </w:rPr>
        <w:t>现场审核前至少30天，向乙方按相关要求提供管理体系文件（管理手册和程序文件）和其他相关资料。</w:t>
      </w:r>
    </w:p>
    <w:p w14:paraId="1F80EA98">
      <w:pPr>
        <w:numPr>
          <w:ilvl w:val="0"/>
          <w:numId w:val="14"/>
        </w:numPr>
        <w:spacing w:line="360" w:lineRule="auto"/>
        <w:ind w:left="851"/>
        <w:rPr>
          <w:sz w:val="22"/>
          <w:szCs w:val="22"/>
          <w:highlight w:val="none"/>
        </w:rPr>
      </w:pPr>
      <w:r>
        <w:rPr>
          <w:rFonts w:hint="eastAsia"/>
          <w:sz w:val="22"/>
          <w:szCs w:val="22"/>
          <w:highlight w:val="none"/>
        </w:rPr>
        <w:t>*为乙方进入现场审核做出全面合理安排，包括向乙方提供为进行初次审核、监督审核、再认证所需要的文件，审核人员所需进入的场所（保密区域应提前向乙方说明），提供充分的资料证明体系运行的有效性。在获得证书后，按乙方公开文件的要求正确使用证书和标志。接到乙方的注销/撤销证书通知时，将证书归还乙方。在本认证方案中，只可以在认证机构出具的证书或符合证明函上显示IATF标识，禁止将IATF标识用作其他任何用途，但甲方可以出于营销和广告目的复制带有IATF标识的IATF 16949证书。甲方的认证被注销、撤销或过期时，甲方应从所有内部和外部营销渠道删除所有提及IATF 16949认证的内容，包括但不限于网站、印刷和电子媒体。</w:t>
      </w:r>
    </w:p>
    <w:p w14:paraId="2FB49E1D">
      <w:pPr>
        <w:numPr>
          <w:ilvl w:val="0"/>
          <w:numId w:val="14"/>
        </w:numPr>
        <w:spacing w:line="360" w:lineRule="auto"/>
        <w:ind w:left="851"/>
        <w:rPr>
          <w:sz w:val="22"/>
          <w:szCs w:val="22"/>
          <w:highlight w:val="none"/>
        </w:rPr>
      </w:pPr>
      <w:r>
        <w:rPr>
          <w:rFonts w:hint="eastAsia"/>
          <w:sz w:val="22"/>
          <w:szCs w:val="22"/>
          <w:highlight w:val="none"/>
        </w:rPr>
        <w:t>证书有效期内，甲方发生以下情况时应及时向乙方进行通报，包括但不限于以下内容：甲方法律状况、商业状况、所有权状况（例如，合并、收购、联盟、合资企业等)、组织与管理结构</w:t>
      </w:r>
      <w:r>
        <w:rPr>
          <w:rFonts w:hint="eastAsia"/>
          <w:sz w:val="22"/>
          <w:szCs w:val="22"/>
          <w:highlight w:val="none"/>
          <w:lang w:val="en-US" w:eastAsia="zh-CN"/>
        </w:rPr>
        <w:t>发生变化</w:t>
      </w:r>
      <w:r>
        <w:rPr>
          <w:rFonts w:hint="eastAsia"/>
          <w:sz w:val="22"/>
          <w:szCs w:val="22"/>
          <w:highlight w:val="none"/>
          <w:lang w:eastAsia="zh-CN"/>
        </w:rPr>
        <w:t>；</w:t>
      </w:r>
      <w:r>
        <w:rPr>
          <w:rFonts w:hint="eastAsia"/>
          <w:sz w:val="22"/>
          <w:szCs w:val="22"/>
          <w:highlight w:val="none"/>
          <w:lang w:val="en-US" w:eastAsia="zh-CN"/>
        </w:rPr>
        <w:t>被注销或撤销法律地位证明文件；</w:t>
      </w:r>
      <w:r>
        <w:rPr>
          <w:rFonts w:hint="eastAsia"/>
          <w:sz w:val="22"/>
          <w:szCs w:val="22"/>
          <w:highlight w:val="none"/>
        </w:rPr>
        <w:t>联系地址或场所、制造过程或支持活动的搬迁或关闭</w:t>
      </w:r>
      <w:r>
        <w:rPr>
          <w:rFonts w:hint="eastAsia"/>
          <w:sz w:val="22"/>
          <w:szCs w:val="22"/>
          <w:highlight w:val="none"/>
          <w:lang w:eastAsia="zh-CN"/>
        </w:rPr>
        <w:t>；</w:t>
      </w:r>
      <w:r>
        <w:rPr>
          <w:rFonts w:hint="eastAsia"/>
          <w:sz w:val="22"/>
          <w:szCs w:val="22"/>
          <w:highlight w:val="none"/>
        </w:rPr>
        <w:t>质量管理体系下的运行范围，包括将在认证范围内涵盖的任何新场所和/或支持关系、将质量管理体系过程外包给其他组织、IATF OEM顾客的特殊状态或不满意情况、转移至新的IATF认可的认证机构，其他与管理体系运行有关的重要信息；生产、销售的产品或提供的服务被质量或市场监督部门认定不合格；发生产品质量安全事故、环境污染事故、安全事故以及产品召回、发生劳动纠纷、违反劳动法律法规等事件；客户及相关方的重大投诉；消费者投诉信息；有关执法监管部门或消协组织的处罚和通报；被国家企业信用信息公示系统（http://www.gsxt.gov.cn）</w:t>
      </w:r>
      <w:r>
        <w:rPr>
          <w:rFonts w:hint="eastAsia" w:ascii="宋体" w:hAnsi="宋体"/>
          <w:bCs/>
          <w:color w:val="auto"/>
          <w:sz w:val="22"/>
          <w:szCs w:val="22"/>
          <w:highlight w:val="none"/>
          <w:lang w:val="en-US" w:eastAsia="zh-CN"/>
        </w:rPr>
        <w:t>和信用中国（https://www.creditchina.gov.cn）系统</w:t>
      </w:r>
      <w:r>
        <w:rPr>
          <w:rFonts w:hint="eastAsia"/>
          <w:sz w:val="22"/>
          <w:szCs w:val="22"/>
          <w:highlight w:val="none"/>
        </w:rPr>
        <w:t>列入“严重违法企业名单”。若甲方未能向乙方通知变更，则视为违反具有法律效力的协议，乙方有权撤销授予甲方的IATF16949证书。</w:t>
      </w:r>
    </w:p>
    <w:p w14:paraId="3F2290A8">
      <w:pPr>
        <w:numPr>
          <w:ilvl w:val="0"/>
          <w:numId w:val="14"/>
        </w:numPr>
        <w:spacing w:line="360" w:lineRule="auto"/>
        <w:ind w:left="851"/>
        <w:rPr>
          <w:rFonts w:hint="eastAsia" w:ascii="宋体" w:hAnsi="宋体"/>
          <w:bCs/>
          <w:sz w:val="22"/>
          <w:szCs w:val="22"/>
          <w:highlight w:val="none"/>
        </w:rPr>
      </w:pPr>
      <w:r>
        <w:rPr>
          <w:rFonts w:hint="eastAsia" w:ascii="宋体" w:hAnsi="宋体"/>
          <w:bCs/>
          <w:sz w:val="22"/>
          <w:szCs w:val="22"/>
          <w:highlight w:val="none"/>
        </w:rPr>
        <w:t>对获证组织未按要求通报的处置：</w:t>
      </w:r>
    </w:p>
    <w:p w14:paraId="2C1459DE">
      <w:pPr>
        <w:pStyle w:val="11"/>
        <w:numPr>
          <w:ilvl w:val="0"/>
          <w:numId w:val="15"/>
        </w:numPr>
        <w:spacing w:line="360" w:lineRule="auto"/>
        <w:ind w:left="993" w:firstLineChars="0"/>
        <w:rPr>
          <w:sz w:val="22"/>
          <w:szCs w:val="22"/>
          <w:highlight w:val="none"/>
        </w:rPr>
      </w:pPr>
      <w:r>
        <w:rPr>
          <w:rFonts w:hint="eastAsia"/>
          <w:sz w:val="22"/>
          <w:szCs w:val="22"/>
          <w:highlight w:val="none"/>
        </w:rPr>
        <w:t>如果发现获证组织未按要求进行信息通报，将根据需通报信息的内容、性质、严重程度，对获证组织予以书面告诫、对注册资格作出暂停或撤销的处置。</w:t>
      </w:r>
    </w:p>
    <w:p w14:paraId="23C87583">
      <w:pPr>
        <w:pStyle w:val="11"/>
        <w:numPr>
          <w:ilvl w:val="0"/>
          <w:numId w:val="15"/>
        </w:numPr>
        <w:spacing w:line="360" w:lineRule="auto"/>
        <w:ind w:left="993" w:firstLineChars="0"/>
        <w:rPr>
          <w:sz w:val="22"/>
          <w:szCs w:val="22"/>
          <w:highlight w:val="none"/>
        </w:rPr>
      </w:pPr>
      <w:r>
        <w:rPr>
          <w:rFonts w:hint="eastAsia"/>
          <w:sz w:val="22"/>
          <w:szCs w:val="22"/>
          <w:highlight w:val="none"/>
        </w:rPr>
        <w:t>当获证组织发生了各类事故、事件、重大投诉、消费者的投诉或在各类监督抽查中存在不合格，如果未在三个工作日内向乙方进行通报，乙方将在获知信息后两个工作日内立即对其注册资格先行办理暂停（情况严重的则直接办理撤销），同时发出书面告知书要求企业对问题事实及后续的行动（包括纠正和纠正措施）及相关部门的后续处置结果（存在时）予以书面说明。获证组织应在接到通知后三个工作日内按照通知要求如实提交相关的资料。如果在接到通知后无充分理由不予配合的，乙方将从第四个工作日起对获证组织的注册资格作出撤销的处置。同时乙方将按照认证信息通报要求向上级主管机关通报。</w:t>
      </w:r>
    </w:p>
    <w:p w14:paraId="5C50F097">
      <w:pPr>
        <w:pStyle w:val="11"/>
        <w:numPr>
          <w:ilvl w:val="0"/>
          <w:numId w:val="15"/>
        </w:numPr>
        <w:spacing w:line="360" w:lineRule="auto"/>
        <w:ind w:left="993" w:firstLineChars="0"/>
        <w:rPr>
          <w:sz w:val="22"/>
          <w:szCs w:val="22"/>
          <w:highlight w:val="none"/>
        </w:rPr>
      </w:pPr>
      <w:r>
        <w:rPr>
          <w:rFonts w:hint="eastAsia"/>
          <w:sz w:val="22"/>
          <w:szCs w:val="22"/>
          <w:highlight w:val="none"/>
        </w:rPr>
        <w:t>当获证组织发生了各类事故、事件、重大投诉、消费者的投诉或在各类监督抽查中存在不合格未按上述要求向乙方通报，乙方在后续的例行监督、再认证审核或其他非例行的审核/检查中按规定向获证组织了解本周期是否发生前述事故、事件、投诉、不合格时，获证组织再次未能如实告知，该情况一旦被发现，乙方将根据问题的内容、性质、严重程度，立即对获证组织的注册资格作出暂停或撤销的处置。</w:t>
      </w:r>
    </w:p>
    <w:p w14:paraId="282AAE11">
      <w:pPr>
        <w:pStyle w:val="11"/>
        <w:numPr>
          <w:ilvl w:val="0"/>
          <w:numId w:val="15"/>
        </w:numPr>
        <w:spacing w:line="360" w:lineRule="auto"/>
        <w:ind w:left="993" w:firstLineChars="0"/>
        <w:rPr>
          <w:sz w:val="22"/>
          <w:szCs w:val="22"/>
          <w:highlight w:val="none"/>
        </w:rPr>
      </w:pPr>
      <w:r>
        <w:rPr>
          <w:rFonts w:hint="eastAsia"/>
          <w:sz w:val="22"/>
          <w:szCs w:val="22"/>
          <w:highlight w:val="none"/>
        </w:rPr>
        <w:t>生产、销售的产品或提供的服务被质量或市场监督部门认定不合格的，自</w:t>
      </w:r>
      <w:r>
        <w:rPr>
          <w:rFonts w:hint="eastAsia"/>
          <w:sz w:val="22"/>
          <w:szCs w:val="22"/>
          <w:highlight w:val="none"/>
          <w:lang w:val="en-US" w:eastAsia="zh-CN"/>
        </w:rPr>
        <w:t>市场监管部门</w:t>
      </w:r>
      <w:r>
        <w:rPr>
          <w:rFonts w:hint="eastAsia"/>
          <w:sz w:val="22"/>
          <w:szCs w:val="22"/>
          <w:highlight w:val="none"/>
        </w:rPr>
        <w:t>发出通报起30日内获证组织应接受</w:t>
      </w:r>
      <w:r>
        <w:rPr>
          <w:rFonts w:hint="eastAsia"/>
          <w:sz w:val="22"/>
          <w:szCs w:val="22"/>
          <w:highlight w:val="none"/>
          <w:lang w:val="en-US" w:eastAsia="zh-CN"/>
        </w:rPr>
        <w:t>乙方安排提前较短时间通知的审核</w:t>
      </w:r>
      <w:r>
        <w:rPr>
          <w:rFonts w:hint="eastAsia"/>
          <w:sz w:val="22"/>
          <w:szCs w:val="22"/>
          <w:highlight w:val="none"/>
        </w:rPr>
        <w:t>；其他方面的不合格参照执行。</w:t>
      </w:r>
    </w:p>
    <w:p w14:paraId="08649A85">
      <w:pPr>
        <w:numPr>
          <w:ilvl w:val="0"/>
          <w:numId w:val="14"/>
        </w:numPr>
        <w:spacing w:line="360" w:lineRule="auto"/>
        <w:ind w:left="851"/>
        <w:rPr>
          <w:rFonts w:hint="eastAsia" w:ascii="宋体" w:hAnsi="宋体"/>
          <w:bCs/>
          <w:sz w:val="22"/>
          <w:szCs w:val="22"/>
          <w:highlight w:val="none"/>
        </w:rPr>
      </w:pPr>
      <w:r>
        <w:rPr>
          <w:rFonts w:hint="eastAsia"/>
          <w:sz w:val="22"/>
          <w:szCs w:val="22"/>
          <w:highlight w:val="none"/>
        </w:rPr>
        <w:t>甲方应在合同签订前提供与先前和/或现有IATF 16949认证相关的认证机构信息，保证向乙方提供的信息真实、准确、完整，如发现信息不实或向乙方隐瞒信息，导致乙方受到行政罚款等连带责任，则由甲方承担全部责任。</w:t>
      </w:r>
    </w:p>
    <w:p w14:paraId="168899B7">
      <w:pPr>
        <w:numPr>
          <w:ilvl w:val="0"/>
          <w:numId w:val="14"/>
        </w:numPr>
        <w:spacing w:line="360" w:lineRule="auto"/>
        <w:ind w:left="851"/>
        <w:rPr>
          <w:rFonts w:hint="eastAsia" w:ascii="宋体" w:hAnsi="宋体"/>
          <w:bCs/>
          <w:sz w:val="22"/>
          <w:szCs w:val="22"/>
          <w:highlight w:val="none"/>
        </w:rPr>
      </w:pPr>
      <w:r>
        <w:rPr>
          <w:rFonts w:hint="eastAsia" w:ascii="宋体" w:hAnsi="宋体"/>
          <w:bCs/>
          <w:sz w:val="22"/>
          <w:szCs w:val="22"/>
          <w:highlight w:val="none"/>
        </w:rPr>
        <w:t>甲方应保证管理体系有关信息的真实性，因隐瞒管理体系覆盖的组织机构、人数、场所数量等信息导致审核人日不足、审核结果无效或认证证书失效，由此造成的损失由甲方承担全责，并承担对乙方造成的损失。</w:t>
      </w:r>
    </w:p>
    <w:p w14:paraId="117DBA34">
      <w:pPr>
        <w:numPr>
          <w:ilvl w:val="0"/>
          <w:numId w:val="14"/>
        </w:numPr>
        <w:spacing w:line="360" w:lineRule="auto"/>
        <w:ind w:left="851"/>
        <w:rPr>
          <w:rFonts w:hint="eastAsia" w:ascii="宋体" w:hAnsi="宋体"/>
          <w:bCs/>
          <w:sz w:val="22"/>
          <w:szCs w:val="22"/>
          <w:highlight w:val="none"/>
        </w:rPr>
      </w:pPr>
      <w:r>
        <w:rPr>
          <w:rFonts w:hint="eastAsia" w:ascii="宋体" w:hAnsi="宋体"/>
          <w:sz w:val="22"/>
          <w:szCs w:val="22"/>
          <w:highlight w:val="none"/>
        </w:rPr>
        <w:t>如果发生因甲方未如实申报而导致乙方颁发的管理体系认证证书出现无效的情况而造成对甲方的损失时，由甲方自行承担；由此对乙方造成的损失(包括实际经济损失、为补救而产生的额外支出及乙方的名誉损失)则由甲方承担。</w:t>
      </w:r>
    </w:p>
    <w:p w14:paraId="580A0685">
      <w:pPr>
        <w:numPr>
          <w:ilvl w:val="0"/>
          <w:numId w:val="14"/>
        </w:numPr>
        <w:spacing w:line="360" w:lineRule="auto"/>
        <w:ind w:left="851"/>
        <w:rPr>
          <w:sz w:val="22"/>
          <w:szCs w:val="22"/>
          <w:highlight w:val="none"/>
        </w:rPr>
      </w:pPr>
      <w:r>
        <w:rPr>
          <w:rFonts w:hint="eastAsia" w:ascii="宋体" w:hAnsi="宋体"/>
          <w:bCs/>
          <w:sz w:val="22"/>
          <w:szCs w:val="22"/>
          <w:highlight w:val="none"/>
          <w:lang w:val="en-US" w:eastAsia="zh-CN"/>
        </w:rPr>
        <w:t>遵守</w:t>
      </w:r>
      <w:r>
        <w:rPr>
          <w:rFonts w:hint="eastAsia" w:ascii="宋体" w:hAnsi="宋体"/>
          <w:bCs/>
          <w:color w:val="auto"/>
          <w:sz w:val="22"/>
          <w:szCs w:val="22"/>
          <w:highlight w:val="none"/>
        </w:rPr>
        <w:t>乙方的有关认证规定（参见乙方网站</w:t>
      </w:r>
      <w:r>
        <w:rPr>
          <w:color w:val="auto"/>
          <w:highlight w:val="none"/>
        </w:rPr>
        <w:fldChar w:fldCharType="begin"/>
      </w:r>
      <w:r>
        <w:rPr>
          <w:color w:val="auto"/>
          <w:highlight w:val="none"/>
        </w:rPr>
        <w:instrText xml:space="preserve"> HYPERLINK "http://www.snqa.com.cn" </w:instrText>
      </w:r>
      <w:r>
        <w:rPr>
          <w:color w:val="auto"/>
          <w:highlight w:val="none"/>
        </w:rPr>
        <w:fldChar w:fldCharType="separate"/>
      </w:r>
      <w:r>
        <w:rPr>
          <w:rFonts w:hint="eastAsia"/>
          <w:color w:val="auto"/>
          <w:highlight w:val="none"/>
        </w:rPr>
        <w:t>http://www.snq</w:t>
      </w:r>
      <w:r>
        <w:rPr>
          <w:color w:val="auto"/>
          <w:highlight w:val="none"/>
        </w:rPr>
        <w:t>a</w:t>
      </w:r>
      <w:r>
        <w:rPr>
          <w:rFonts w:hint="eastAsia"/>
          <w:color w:val="auto"/>
          <w:highlight w:val="none"/>
        </w:rPr>
        <w:t>.com.cn</w:t>
      </w:r>
      <w:r>
        <w:rPr>
          <w:rFonts w:hint="eastAsia"/>
          <w:color w:val="auto"/>
          <w:highlight w:val="none"/>
        </w:rPr>
        <w:fldChar w:fldCharType="end"/>
      </w:r>
      <w:r>
        <w:rPr>
          <w:rFonts w:hint="eastAsia" w:ascii="宋体" w:hAnsi="宋体"/>
          <w:bCs/>
          <w:color w:val="auto"/>
          <w:sz w:val="22"/>
          <w:szCs w:val="22"/>
          <w:highlight w:val="none"/>
        </w:rPr>
        <w:t>所发布的公开文件）</w:t>
      </w:r>
      <w:r>
        <w:rPr>
          <w:rFonts w:hint="eastAsia"/>
          <w:bCs/>
          <w:sz w:val="22"/>
          <w:szCs w:val="22"/>
          <w:highlight w:val="none"/>
          <w:lang w:eastAsia="zh-CN"/>
        </w:rPr>
        <w:t>，</w:t>
      </w:r>
      <w:r>
        <w:rPr>
          <w:rFonts w:hint="eastAsia"/>
          <w:bCs/>
          <w:sz w:val="22"/>
          <w:szCs w:val="22"/>
          <w:highlight w:val="none"/>
          <w:lang w:val="en-US" w:eastAsia="zh-CN"/>
        </w:rPr>
        <w:t>且</w:t>
      </w:r>
      <w:r>
        <w:rPr>
          <w:rFonts w:hint="eastAsia" w:ascii="宋体" w:hAnsi="宋体"/>
          <w:bCs/>
          <w:sz w:val="22"/>
          <w:szCs w:val="22"/>
          <w:highlight w:val="none"/>
        </w:rPr>
        <w:t>乙方官网上</w:t>
      </w:r>
      <w:r>
        <w:rPr>
          <w:rFonts w:hint="default" w:ascii="Times New Roman" w:hAnsi="Times New Roman" w:cs="Times New Roman"/>
          <w:bCs/>
          <w:color w:val="auto"/>
          <w:sz w:val="22"/>
          <w:szCs w:val="22"/>
          <w:highlight w:val="none"/>
          <w:u w:val="none"/>
        </w:rPr>
        <w:t>http://www.snqa.com.cn</w:t>
      </w:r>
      <w:r>
        <w:rPr>
          <w:rFonts w:hint="eastAsia" w:ascii="宋体" w:hAnsi="宋体"/>
          <w:bCs/>
          <w:sz w:val="22"/>
          <w:szCs w:val="22"/>
          <w:highlight w:val="none"/>
        </w:rPr>
        <w:t>所登载的</w:t>
      </w:r>
      <w:r>
        <w:rPr>
          <w:rFonts w:hint="default" w:ascii="Times New Roman" w:hAnsi="Times New Roman" w:cs="Times New Roman"/>
          <w:bCs/>
          <w:sz w:val="22"/>
          <w:szCs w:val="22"/>
          <w:highlight w:val="none"/>
        </w:rPr>
        <w:t>Kiwa</w:t>
      </w:r>
      <w:r>
        <w:rPr>
          <w:rFonts w:hint="eastAsia" w:ascii="宋体" w:hAnsi="宋体"/>
          <w:bCs/>
          <w:sz w:val="22"/>
          <w:szCs w:val="22"/>
          <w:highlight w:val="none"/>
        </w:rPr>
        <w:t>通用条款和条件同样也适用于本合同，甲乙双方同意遵守</w:t>
      </w:r>
      <w:r>
        <w:rPr>
          <w:rFonts w:hint="eastAsia" w:ascii="宋体" w:hAnsi="宋体"/>
          <w:bCs/>
          <w:color w:val="auto"/>
          <w:sz w:val="22"/>
          <w:szCs w:val="22"/>
          <w:highlight w:val="none"/>
          <w:lang w:eastAsia="zh-CN"/>
        </w:rPr>
        <w:t>。</w:t>
      </w:r>
    </w:p>
    <w:p w14:paraId="1F5D23A0">
      <w:pPr>
        <w:numPr>
          <w:ilvl w:val="0"/>
          <w:numId w:val="14"/>
        </w:numPr>
        <w:spacing w:line="360" w:lineRule="auto"/>
        <w:ind w:left="851"/>
        <w:rPr>
          <w:sz w:val="22"/>
          <w:szCs w:val="22"/>
          <w:highlight w:val="none"/>
        </w:rPr>
      </w:pPr>
      <w:r>
        <w:rPr>
          <w:bCs/>
          <w:sz w:val="22"/>
          <w:szCs w:val="22"/>
          <w:highlight w:val="none"/>
        </w:rPr>
        <w:t>中国国家认证认可监督管理委员会官方网站</w:t>
      </w:r>
      <w:r>
        <w:rPr>
          <w:highlight w:val="none"/>
        </w:rPr>
        <w:fldChar w:fldCharType="begin"/>
      </w:r>
      <w:r>
        <w:rPr>
          <w:highlight w:val="none"/>
        </w:rPr>
        <w:instrText xml:space="preserve"> HYPERLINK "http://www.cnca.gov.cn" </w:instrText>
      </w:r>
      <w:r>
        <w:rPr>
          <w:highlight w:val="none"/>
        </w:rPr>
        <w:fldChar w:fldCharType="separate"/>
      </w:r>
      <w:r>
        <w:rPr>
          <w:bCs/>
          <w:sz w:val="22"/>
          <w:szCs w:val="22"/>
          <w:highlight w:val="none"/>
        </w:rPr>
        <w:t>http://www.cnca.gov.cn</w:t>
      </w:r>
      <w:r>
        <w:rPr>
          <w:bCs/>
          <w:sz w:val="22"/>
          <w:szCs w:val="22"/>
          <w:highlight w:val="none"/>
        </w:rPr>
        <w:fldChar w:fldCharType="end"/>
      </w:r>
      <w:r>
        <w:rPr>
          <w:bCs/>
          <w:sz w:val="22"/>
          <w:szCs w:val="22"/>
          <w:highlight w:val="none"/>
        </w:rPr>
        <w:t xml:space="preserve"> 中刊</w:t>
      </w:r>
      <w:r>
        <w:rPr>
          <w:rFonts w:hint="eastAsia" w:ascii="宋体" w:hAnsi="宋体"/>
          <w:bCs/>
          <w:sz w:val="22"/>
          <w:szCs w:val="22"/>
          <w:highlight w:val="none"/>
        </w:rPr>
        <w:t>载的与甲方相关信息亦是甲方在本合同履行期间的义务。</w:t>
      </w:r>
    </w:p>
    <w:p w14:paraId="532C7695">
      <w:pPr>
        <w:numPr>
          <w:ilvl w:val="0"/>
          <w:numId w:val="14"/>
        </w:numPr>
        <w:spacing w:line="360" w:lineRule="auto"/>
        <w:ind w:left="851"/>
        <w:rPr>
          <w:sz w:val="22"/>
          <w:szCs w:val="22"/>
          <w:highlight w:val="none"/>
        </w:rPr>
      </w:pPr>
      <w:r>
        <w:rPr>
          <w:rFonts w:hint="eastAsia"/>
          <w:sz w:val="22"/>
          <w:szCs w:val="22"/>
          <w:highlight w:val="none"/>
        </w:rPr>
        <w:t>若此合同为转移审核类型，甲方一旦与乙方签订合同，应将其转移意图通知原认证机构，并解决与向乙方转移或从原机构转移相关的未解决的问题。反之，甲方获证后决定转移到其他认证机构应通知乙方，并解决与乙方未解决的问题。</w:t>
      </w:r>
    </w:p>
    <w:p w14:paraId="6BCE1A94">
      <w:pPr>
        <w:numPr>
          <w:ilvl w:val="0"/>
          <w:numId w:val="14"/>
        </w:numPr>
        <w:spacing w:line="360" w:lineRule="auto"/>
        <w:ind w:left="851"/>
        <w:rPr>
          <w:sz w:val="22"/>
          <w:szCs w:val="22"/>
          <w:highlight w:val="none"/>
        </w:rPr>
      </w:pPr>
      <w:r>
        <w:rPr>
          <w:rFonts w:hint="eastAsia"/>
          <w:sz w:val="22"/>
          <w:szCs w:val="22"/>
          <w:highlight w:val="none"/>
        </w:rPr>
        <w:t>甲方应接受乙方、相关认可机构安排的见证审核任务以及认证监管部门的非例行检查，并在见证评审过程或非例行检查中给予必要的配合。甲方不得拒绝IATF对认证机构的外部见证审核、不得拒绝认证机构至现场实施的内部见证审核、不得拒绝IATF观察员的出席、并应允许认证机构向IATF提供最终报告和不符合报告。</w:t>
      </w:r>
    </w:p>
    <w:p w14:paraId="5CDE818C">
      <w:pPr>
        <w:numPr>
          <w:ilvl w:val="0"/>
          <w:numId w:val="14"/>
        </w:numPr>
        <w:spacing w:line="360" w:lineRule="auto"/>
        <w:ind w:left="851"/>
        <w:rPr>
          <w:sz w:val="22"/>
          <w:szCs w:val="22"/>
          <w:highlight w:val="none"/>
        </w:rPr>
      </w:pPr>
      <w:r>
        <w:rPr>
          <w:rFonts w:hint="eastAsia"/>
          <w:sz w:val="22"/>
          <w:szCs w:val="22"/>
          <w:highlight w:val="none"/>
        </w:rPr>
        <w:t>甲方应确保每次审核在规定的时间内完成不符合项的有效整改并提交审核组进行关闭，如不能按期提交整改并确保关闭，</w:t>
      </w:r>
      <w:bookmarkStart w:id="6" w:name="OLE_LINK5"/>
      <w:r>
        <w:rPr>
          <w:rFonts w:hint="eastAsia"/>
          <w:sz w:val="22"/>
          <w:szCs w:val="22"/>
          <w:highlight w:val="none"/>
        </w:rPr>
        <w:t>可能导致审核失败或证书撤销</w:t>
      </w:r>
      <w:bookmarkEnd w:id="6"/>
      <w:r>
        <w:rPr>
          <w:rFonts w:hint="eastAsia"/>
          <w:sz w:val="22"/>
          <w:szCs w:val="22"/>
          <w:highlight w:val="none"/>
        </w:rPr>
        <w:t xml:space="preserve">，则甲方自行承担由此引发的相应后果。 </w:t>
      </w:r>
    </w:p>
    <w:p w14:paraId="5F1CB358">
      <w:pPr>
        <w:spacing w:line="360" w:lineRule="auto"/>
        <w:ind w:left="851"/>
        <w:rPr>
          <w:sz w:val="22"/>
          <w:szCs w:val="22"/>
          <w:highlight w:val="none"/>
        </w:rPr>
      </w:pPr>
      <w:r>
        <w:rPr>
          <w:rFonts w:hint="eastAsia"/>
          <w:bCs/>
          <w:sz w:val="22"/>
          <w:szCs w:val="22"/>
          <w:highlight w:val="none"/>
        </w:rPr>
        <w:t>具体时限要求为：</w:t>
      </w:r>
    </w:p>
    <w:p w14:paraId="6B192EDA">
      <w:pPr>
        <w:pStyle w:val="11"/>
        <w:numPr>
          <w:ilvl w:val="0"/>
          <w:numId w:val="16"/>
        </w:numPr>
        <w:spacing w:line="360" w:lineRule="auto"/>
        <w:ind w:left="993" w:firstLineChars="0"/>
        <w:rPr>
          <w:sz w:val="22"/>
          <w:szCs w:val="22"/>
          <w:highlight w:val="none"/>
        </w:rPr>
      </w:pPr>
      <w:r>
        <w:rPr>
          <w:rFonts w:hint="eastAsia"/>
          <w:sz w:val="22"/>
          <w:szCs w:val="22"/>
          <w:highlight w:val="none"/>
        </w:rPr>
        <w:t xml:space="preserve">审核开出严重不符合，甲方应在现场审核未次会议后最多15个日历日内提交以下严重不符合的证据：已实施的遏制措施及其有效性；已实施的纠正；根本原因分析，包括所使用的方法、结果以及对根本原因对其他过程和产品影响的考虑；消除已识别的根本原因的系统性纠正措施计划，以及为验证系统性纠正措施的有效性而识别的方法）。 </w:t>
      </w:r>
    </w:p>
    <w:p w14:paraId="40275303">
      <w:pPr>
        <w:pStyle w:val="11"/>
        <w:numPr>
          <w:ilvl w:val="0"/>
          <w:numId w:val="16"/>
        </w:numPr>
        <w:spacing w:line="360" w:lineRule="auto"/>
        <w:ind w:left="993" w:firstLineChars="0"/>
        <w:rPr>
          <w:sz w:val="22"/>
          <w:szCs w:val="22"/>
          <w:highlight w:val="none"/>
        </w:rPr>
      </w:pPr>
      <w:r>
        <w:rPr>
          <w:rFonts w:hint="eastAsia"/>
          <w:sz w:val="22"/>
          <w:szCs w:val="22"/>
          <w:highlight w:val="none"/>
        </w:rPr>
        <w:t>如果甲方提交的15天严重不符合响应信息被拒绝，甲方应在现场审核末次会议后最多30个日历日内解决拒绝原因并提交可接受的不符合响应。</w:t>
      </w:r>
    </w:p>
    <w:p w14:paraId="3FA870A2">
      <w:pPr>
        <w:pStyle w:val="11"/>
        <w:numPr>
          <w:ilvl w:val="0"/>
          <w:numId w:val="16"/>
        </w:numPr>
        <w:spacing w:line="360" w:lineRule="auto"/>
        <w:ind w:left="993" w:firstLineChars="0"/>
        <w:rPr>
          <w:sz w:val="22"/>
          <w:szCs w:val="22"/>
          <w:highlight w:val="none"/>
        </w:rPr>
      </w:pPr>
      <w:r>
        <w:rPr>
          <w:rFonts w:hint="eastAsia"/>
          <w:sz w:val="22"/>
          <w:szCs w:val="22"/>
          <w:highlight w:val="none"/>
        </w:rPr>
        <w:t>审核开出不符合（包括严重不符合和/或一般不符合），甲方应在现场审核末次会议后最多60个日历日内（再认证审核应考虑现有证书到期日）完成所有不符合项的有效整改并提交相关证据：包括已实施的遏制措施及其有效性；已实施的纠正；根本原因，包括所使用的方法、结果以及对根本原因对其他过程和产品影响的考虑；系统性纠正措施的实施，以消除根本原因；用于验证系统性纠正措施有效性的方法和验证结果。</w:t>
      </w:r>
    </w:p>
    <w:p w14:paraId="3BF5C8D3">
      <w:pPr>
        <w:pStyle w:val="11"/>
        <w:numPr>
          <w:ilvl w:val="0"/>
          <w:numId w:val="16"/>
        </w:numPr>
        <w:spacing w:line="360" w:lineRule="auto"/>
        <w:ind w:left="993" w:firstLineChars="0"/>
        <w:rPr>
          <w:sz w:val="22"/>
          <w:szCs w:val="22"/>
          <w:highlight w:val="none"/>
        </w:rPr>
      </w:pPr>
      <w:r>
        <w:rPr>
          <w:rFonts w:hint="eastAsia"/>
          <w:sz w:val="22"/>
          <w:szCs w:val="22"/>
          <w:highlight w:val="none"/>
        </w:rPr>
        <w:t>如果甲方提交的60天不符合响应信息被拒绝，甲方应在现场审核末次会议后最多90个日历日内解决拒绝原因并提交可接受的不符合响应。</w:t>
      </w:r>
    </w:p>
    <w:p w14:paraId="5F26158D">
      <w:pPr>
        <w:pStyle w:val="11"/>
        <w:numPr>
          <w:ilvl w:val="0"/>
          <w:numId w:val="16"/>
        </w:numPr>
        <w:spacing w:line="360" w:lineRule="auto"/>
        <w:ind w:left="993" w:firstLineChars="0"/>
        <w:rPr>
          <w:sz w:val="22"/>
          <w:szCs w:val="22"/>
          <w:highlight w:val="none"/>
        </w:rPr>
      </w:pPr>
      <w:r>
        <w:rPr>
          <w:rFonts w:hint="eastAsia"/>
          <w:sz w:val="22"/>
          <w:szCs w:val="22"/>
          <w:highlight w:val="none"/>
        </w:rPr>
        <w:t>对于严重不符合纠正措施有效性的验证应在乙方接受60天不符合响应之后且在现场审核末次会议后最多90个日历日内（再认证审核应考虑现有证书到期日）执行并完成现场特殊审核来验证系统性纠正措施的有效实施。</w:t>
      </w:r>
    </w:p>
    <w:p w14:paraId="5315A653">
      <w:pPr>
        <w:numPr>
          <w:ilvl w:val="0"/>
          <w:numId w:val="14"/>
        </w:numPr>
        <w:spacing w:line="360" w:lineRule="auto"/>
        <w:ind w:left="851"/>
        <w:rPr>
          <w:sz w:val="22"/>
          <w:szCs w:val="22"/>
          <w:highlight w:val="none"/>
        </w:rPr>
      </w:pPr>
      <w:r>
        <w:rPr>
          <w:rFonts w:hint="eastAsia"/>
          <w:sz w:val="22"/>
          <w:szCs w:val="22"/>
          <w:highlight w:val="none"/>
        </w:rPr>
        <w:t>甲方应提前与乙方沟通协商再认证审核事宜，在审核期限（为上一周期初审二阶段或再认证最后一天）到期120天前与乙方签订再认证合同，并确保在再认证审核到期120天前将认证费用付至乙方。甲方应确保做好充分准备在审核期限到期前至少90天到30天内完成再认证现场审核。如甲方因自身原因逾期签订合同或付款，或拟转机构未在审核到期90天前书面通知乙方（加盖公章并扫描发至乙方指定邮箱），造成后续审核安排及证书状态变更（包括现有证书的注销）等事宜受到影响，则甲方自行承担所有责任。</w:t>
      </w:r>
    </w:p>
    <w:p w14:paraId="009AB1C5">
      <w:pPr>
        <w:numPr>
          <w:ilvl w:val="0"/>
          <w:numId w:val="14"/>
        </w:numPr>
        <w:spacing w:line="360" w:lineRule="auto"/>
        <w:ind w:left="851"/>
        <w:rPr>
          <w:sz w:val="22"/>
          <w:szCs w:val="22"/>
          <w:highlight w:val="none"/>
        </w:rPr>
      </w:pPr>
      <w:r>
        <w:rPr>
          <w:rFonts w:hint="eastAsia"/>
          <w:sz w:val="22"/>
          <w:szCs w:val="22"/>
          <w:highlight w:val="none"/>
        </w:rPr>
        <w:t>甲方质量管理体系的相关咨询师不应在审核期间实际出现在客户现场，也不应以任何方式直接或间接参与审核。甲方未能满足本条款要求将导致乙方终止审核。</w:t>
      </w:r>
    </w:p>
    <w:p w14:paraId="49A29075">
      <w:pPr>
        <w:numPr>
          <w:ilvl w:val="0"/>
          <w:numId w:val="14"/>
        </w:numPr>
        <w:spacing w:line="360" w:lineRule="auto"/>
        <w:ind w:left="851"/>
        <w:rPr>
          <w:sz w:val="22"/>
          <w:szCs w:val="22"/>
          <w:highlight w:val="none"/>
        </w:rPr>
      </w:pPr>
      <w:r>
        <w:rPr>
          <w:rFonts w:hint="eastAsia"/>
          <w:sz w:val="22"/>
          <w:szCs w:val="22"/>
          <w:highlight w:val="none"/>
        </w:rPr>
        <w:t>甲方应在规则要求的审核到期日之前至少90个日历日与乙方确认监督、再认证和转移审核起止日期，并应确保汽车制造过程在策划的审核时间内按要求运行。甲方应在确认的审核开始日期之前至少30个日历日依据准则相关要求向乙方提供有效的审核策划信息。如果无法满足本条款要求, 乙方将推迟审核，直到能满足该要求为止，延迟审核可能会导致失去认证。</w:t>
      </w:r>
    </w:p>
    <w:p w14:paraId="7C8CB3B0">
      <w:pPr>
        <w:pStyle w:val="11"/>
        <w:numPr>
          <w:ilvl w:val="0"/>
          <w:numId w:val="11"/>
        </w:numPr>
        <w:spacing w:line="360" w:lineRule="auto"/>
        <w:ind w:firstLineChars="0"/>
        <w:rPr>
          <w:sz w:val="22"/>
          <w:szCs w:val="22"/>
          <w:highlight w:val="none"/>
        </w:rPr>
      </w:pPr>
      <w:r>
        <w:rPr>
          <w:rFonts w:hint="eastAsia"/>
          <w:sz w:val="22"/>
          <w:szCs w:val="22"/>
          <w:highlight w:val="none"/>
        </w:rPr>
        <w:t>乙方的权利义务：</w:t>
      </w:r>
    </w:p>
    <w:p w14:paraId="3CD674C7">
      <w:pPr>
        <w:pStyle w:val="11"/>
        <w:numPr>
          <w:ilvl w:val="0"/>
          <w:numId w:val="12"/>
        </w:numPr>
        <w:spacing w:line="360" w:lineRule="auto"/>
        <w:ind w:firstLineChars="0"/>
        <w:rPr>
          <w:vanish/>
          <w:sz w:val="22"/>
          <w:szCs w:val="22"/>
          <w:highlight w:val="none"/>
        </w:rPr>
      </w:pPr>
    </w:p>
    <w:p w14:paraId="0A4ACA4B">
      <w:pPr>
        <w:pStyle w:val="11"/>
        <w:numPr>
          <w:ilvl w:val="1"/>
          <w:numId w:val="12"/>
        </w:numPr>
        <w:spacing w:line="360" w:lineRule="auto"/>
        <w:ind w:left="851" w:hanging="425" w:firstLineChars="0"/>
        <w:rPr>
          <w:sz w:val="22"/>
          <w:szCs w:val="22"/>
          <w:highlight w:val="none"/>
        </w:rPr>
      </w:pPr>
      <w:r>
        <w:rPr>
          <w:rFonts w:hint="eastAsia"/>
          <w:sz w:val="22"/>
          <w:szCs w:val="22"/>
          <w:highlight w:val="none"/>
        </w:rPr>
        <w:t>权利：</w:t>
      </w:r>
    </w:p>
    <w:p w14:paraId="723F441C">
      <w:pPr>
        <w:numPr>
          <w:ilvl w:val="0"/>
          <w:numId w:val="17"/>
        </w:numPr>
        <w:spacing w:line="360" w:lineRule="auto"/>
        <w:ind w:left="851"/>
        <w:rPr>
          <w:sz w:val="22"/>
          <w:szCs w:val="22"/>
          <w:highlight w:val="none"/>
        </w:rPr>
      </w:pPr>
      <w:r>
        <w:rPr>
          <w:rFonts w:hint="eastAsia"/>
          <w:sz w:val="22"/>
          <w:szCs w:val="22"/>
          <w:highlight w:val="none"/>
        </w:rPr>
        <w:t>有权依据相关法律法规和现场审核结论，确定甲方认证注册范围；决定是否给予甲方认证注册和颁发证书。</w:t>
      </w:r>
    </w:p>
    <w:p w14:paraId="0024CE1A">
      <w:pPr>
        <w:numPr>
          <w:ilvl w:val="0"/>
          <w:numId w:val="17"/>
        </w:numPr>
        <w:spacing w:line="360" w:lineRule="auto"/>
        <w:ind w:left="851"/>
        <w:rPr>
          <w:sz w:val="22"/>
          <w:szCs w:val="22"/>
          <w:highlight w:val="none"/>
        </w:rPr>
      </w:pPr>
      <w:r>
        <w:rPr>
          <w:rFonts w:hint="eastAsia"/>
          <w:sz w:val="22"/>
          <w:szCs w:val="22"/>
          <w:highlight w:val="none"/>
        </w:rPr>
        <w:t>有权在认可监管机构网站公开甲方认证状态信息，包括甲方名称和地址、认证范围、认证证书的有效期和证书状态等，并定期更新这些信息。</w:t>
      </w:r>
    </w:p>
    <w:p w14:paraId="1F036C87">
      <w:pPr>
        <w:numPr>
          <w:ilvl w:val="0"/>
          <w:numId w:val="17"/>
        </w:numPr>
        <w:spacing w:line="360" w:lineRule="auto"/>
        <w:ind w:left="851"/>
        <w:rPr>
          <w:sz w:val="22"/>
          <w:szCs w:val="22"/>
          <w:highlight w:val="none"/>
        </w:rPr>
      </w:pPr>
      <w:r>
        <w:rPr>
          <w:rFonts w:hint="eastAsia"/>
          <w:sz w:val="22"/>
          <w:szCs w:val="22"/>
          <w:highlight w:val="none"/>
        </w:rPr>
        <w:t>有权向认可监管机构发布审核报告信息。</w:t>
      </w:r>
    </w:p>
    <w:p w14:paraId="6167298B">
      <w:pPr>
        <w:numPr>
          <w:ilvl w:val="0"/>
          <w:numId w:val="17"/>
        </w:numPr>
        <w:spacing w:line="360" w:lineRule="auto"/>
        <w:ind w:left="851"/>
        <w:rPr>
          <w:sz w:val="22"/>
          <w:szCs w:val="22"/>
          <w:highlight w:val="none"/>
        </w:rPr>
      </w:pPr>
      <w:r>
        <w:rPr>
          <w:rFonts w:hint="eastAsia"/>
          <w:sz w:val="22"/>
          <w:szCs w:val="22"/>
          <w:highlight w:val="none"/>
        </w:rPr>
        <w:t>有权依据甲方的违规行为，做出暂停或撤销甲方认证注册资格，收回证书的决定。</w:t>
      </w:r>
    </w:p>
    <w:p w14:paraId="4DB1B20E">
      <w:pPr>
        <w:numPr>
          <w:ilvl w:val="0"/>
          <w:numId w:val="17"/>
        </w:numPr>
        <w:spacing w:line="360" w:lineRule="auto"/>
        <w:ind w:left="851"/>
        <w:rPr>
          <w:sz w:val="22"/>
          <w:szCs w:val="22"/>
          <w:highlight w:val="none"/>
        </w:rPr>
      </w:pPr>
      <w:r>
        <w:rPr>
          <w:rFonts w:hint="eastAsia"/>
          <w:sz w:val="22"/>
          <w:szCs w:val="22"/>
          <w:highlight w:val="none"/>
        </w:rPr>
        <w:t>有权在甲方管理体系出现异常情况时，适时地安排非例行的特殊审核；其时间及费用由双方另行商定。如甲方在再认证审核前，因自身原因逾期签订合同或付款，或拟转机构未在审核到期90天前书面通知乙方（加盖公章并扫描发至乙方指定邮箱），乙方有权在再认</w:t>
      </w:r>
      <w:permStart w:id="27" w:edGrp="everyone"/>
      <w:permEnd w:id="27"/>
      <w:r>
        <w:rPr>
          <w:rFonts w:hint="eastAsia"/>
          <w:sz w:val="22"/>
          <w:szCs w:val="22"/>
          <w:highlight w:val="none"/>
        </w:rPr>
        <w:t>证审核到期后注销甲方的证书。</w:t>
      </w:r>
    </w:p>
    <w:p w14:paraId="3508A6E4">
      <w:pPr>
        <w:pStyle w:val="11"/>
        <w:numPr>
          <w:ilvl w:val="1"/>
          <w:numId w:val="12"/>
        </w:numPr>
        <w:spacing w:line="360" w:lineRule="auto"/>
        <w:ind w:left="993" w:hanging="425" w:firstLineChars="0"/>
        <w:rPr>
          <w:sz w:val="22"/>
          <w:szCs w:val="22"/>
          <w:highlight w:val="none"/>
        </w:rPr>
      </w:pPr>
      <w:r>
        <w:rPr>
          <w:rFonts w:hint="eastAsia"/>
          <w:sz w:val="22"/>
          <w:szCs w:val="22"/>
          <w:highlight w:val="none"/>
        </w:rPr>
        <w:t>义务：</w:t>
      </w:r>
    </w:p>
    <w:p w14:paraId="27F75092">
      <w:pPr>
        <w:numPr>
          <w:ilvl w:val="0"/>
          <w:numId w:val="18"/>
        </w:numPr>
        <w:spacing w:line="360" w:lineRule="auto"/>
        <w:ind w:left="993"/>
        <w:rPr>
          <w:sz w:val="22"/>
          <w:szCs w:val="22"/>
          <w:highlight w:val="none"/>
        </w:rPr>
      </w:pPr>
      <w:r>
        <w:rPr>
          <w:rFonts w:hint="eastAsia"/>
          <w:sz w:val="22"/>
          <w:szCs w:val="22"/>
          <w:highlight w:val="none"/>
        </w:rPr>
        <w:t>严格遵守国家的法律、法规和认可机构的规定。</w:t>
      </w:r>
    </w:p>
    <w:p w14:paraId="55DABF6A">
      <w:pPr>
        <w:numPr>
          <w:ilvl w:val="0"/>
          <w:numId w:val="18"/>
        </w:numPr>
        <w:spacing w:line="360" w:lineRule="auto"/>
        <w:ind w:left="993"/>
        <w:rPr>
          <w:sz w:val="22"/>
          <w:szCs w:val="22"/>
          <w:highlight w:val="none"/>
        </w:rPr>
      </w:pPr>
      <w:r>
        <w:rPr>
          <w:rFonts w:hint="eastAsia"/>
          <w:sz w:val="22"/>
          <w:szCs w:val="22"/>
          <w:highlight w:val="none"/>
        </w:rPr>
        <w:t>按照认证程序、认证所依据的标准及本合同约定，客观公正地为甲方提供认证服务。</w:t>
      </w:r>
    </w:p>
    <w:p w14:paraId="43EE1F32">
      <w:pPr>
        <w:numPr>
          <w:ilvl w:val="0"/>
          <w:numId w:val="18"/>
        </w:numPr>
        <w:spacing w:line="360" w:lineRule="auto"/>
        <w:ind w:left="993"/>
        <w:rPr>
          <w:sz w:val="22"/>
          <w:szCs w:val="22"/>
          <w:highlight w:val="none"/>
        </w:rPr>
      </w:pPr>
      <w:r>
        <w:rPr>
          <w:rFonts w:hint="eastAsia"/>
          <w:sz w:val="22"/>
          <w:szCs w:val="22"/>
          <w:highlight w:val="none"/>
        </w:rPr>
        <w:t>乙方及其担保的所有IATF 16949审核员，应遵守甲方管辖区的所有相关数据保护法，并在相关个人身份信息(PII)的使用方面提供足够的透明度。严格保密承诺，不得将甲方在经营、生产、技术、管理等方面的非公开信息以任何方式泄密给第三方。但下列情况除外：a）甲方已公开的信息；b）得到甲方的书面同意；c）</w:t>
      </w:r>
      <w:r>
        <w:rPr>
          <w:rFonts w:hint="eastAsia" w:ascii="宋体" w:hAnsi="宋体"/>
          <w:bCs/>
          <w:sz w:val="22"/>
          <w:szCs w:val="22"/>
          <w:highlight w:val="none"/>
        </w:rPr>
        <w:t>认可机构及监管机构需要时；d）</w:t>
      </w:r>
      <w:r>
        <w:rPr>
          <w:rFonts w:hint="eastAsia"/>
          <w:sz w:val="22"/>
          <w:szCs w:val="22"/>
          <w:highlight w:val="none"/>
        </w:rPr>
        <w:t>应法律要求时。</w:t>
      </w:r>
      <w:r>
        <w:rPr>
          <w:rFonts w:hint="eastAsia" w:ascii="宋体" w:hAnsi="宋体"/>
          <w:bCs/>
          <w:sz w:val="22"/>
          <w:szCs w:val="22"/>
          <w:highlight w:val="none"/>
        </w:rPr>
        <w:t xml:space="preserve"> 除法律禁止外，乙方应将拟提供的信息提前通知甲方。特殊情况下，可以根据甲方要求（如出于安全原因），对乙方公开的甲方的名称、相关规范文件、认证范围和地理位置的公开程度作出限制。</w:t>
      </w:r>
    </w:p>
    <w:p w14:paraId="212FAB44">
      <w:pPr>
        <w:numPr>
          <w:ilvl w:val="0"/>
          <w:numId w:val="18"/>
        </w:numPr>
        <w:spacing w:line="360" w:lineRule="auto"/>
        <w:ind w:left="993"/>
        <w:rPr>
          <w:sz w:val="22"/>
          <w:szCs w:val="22"/>
          <w:highlight w:val="none"/>
        </w:rPr>
      </w:pPr>
      <w:r>
        <w:rPr>
          <w:rFonts w:hint="eastAsia"/>
          <w:sz w:val="22"/>
          <w:szCs w:val="22"/>
          <w:highlight w:val="none"/>
        </w:rPr>
        <w:t>负责在有关媒体上发布甲方已获认证注册的信息。</w:t>
      </w:r>
    </w:p>
    <w:p w14:paraId="3CCA0AF9">
      <w:pPr>
        <w:numPr>
          <w:ilvl w:val="0"/>
          <w:numId w:val="18"/>
        </w:numPr>
        <w:spacing w:line="360" w:lineRule="auto"/>
        <w:ind w:left="993"/>
        <w:rPr>
          <w:sz w:val="22"/>
          <w:szCs w:val="22"/>
          <w:highlight w:val="none"/>
        </w:rPr>
      </w:pPr>
      <w:r>
        <w:rPr>
          <w:rFonts w:hint="eastAsia"/>
          <w:sz w:val="22"/>
          <w:szCs w:val="22"/>
          <w:highlight w:val="none"/>
        </w:rPr>
        <w:t>*在证书有效期内，乙方在及时收到甲方的转移通知并确认甲方不存在任何未尽事宜（包括但不限于：费用未结清）的情况下，不应在转移活动完成之前取消合同或注销或撤销认证证书。</w:t>
      </w:r>
    </w:p>
    <w:p w14:paraId="2E13BFEF">
      <w:pPr>
        <w:numPr>
          <w:ilvl w:val="0"/>
          <w:numId w:val="18"/>
        </w:numPr>
        <w:spacing w:line="360" w:lineRule="auto"/>
        <w:ind w:left="993"/>
        <w:rPr>
          <w:sz w:val="22"/>
          <w:szCs w:val="22"/>
          <w:highlight w:val="none"/>
        </w:rPr>
      </w:pPr>
      <w:r>
        <w:rPr>
          <w:rFonts w:hint="eastAsia"/>
          <w:sz w:val="22"/>
          <w:szCs w:val="22"/>
          <w:highlight w:val="none"/>
        </w:rPr>
        <w:t>乙方出现所有权状态的任何变更或IATF认可的丧失，应在10个日历日内通知甲方。</w:t>
      </w:r>
    </w:p>
    <w:p w14:paraId="46B7069F">
      <w:pPr>
        <w:pStyle w:val="11"/>
        <w:numPr>
          <w:ilvl w:val="0"/>
          <w:numId w:val="1"/>
        </w:numPr>
        <w:spacing w:line="360" w:lineRule="auto"/>
        <w:ind w:firstLineChars="0"/>
        <w:rPr>
          <w:b/>
          <w:bCs/>
          <w:sz w:val="22"/>
          <w:szCs w:val="22"/>
          <w:highlight w:val="none"/>
        </w:rPr>
      </w:pPr>
      <w:r>
        <w:rPr>
          <w:rFonts w:hint="eastAsia"/>
          <w:b/>
          <w:bCs/>
          <w:sz w:val="22"/>
          <w:szCs w:val="22"/>
          <w:highlight w:val="none"/>
        </w:rPr>
        <w:t>合同的生效</w:t>
      </w:r>
    </w:p>
    <w:p w14:paraId="7685D095">
      <w:pPr>
        <w:pStyle w:val="11"/>
        <w:numPr>
          <w:ilvl w:val="0"/>
          <w:numId w:val="19"/>
        </w:numPr>
        <w:spacing w:line="360" w:lineRule="auto"/>
        <w:ind w:firstLineChars="0"/>
        <w:rPr>
          <w:sz w:val="22"/>
          <w:szCs w:val="22"/>
          <w:highlight w:val="none"/>
        </w:rPr>
      </w:pPr>
      <w:r>
        <w:rPr>
          <w:rFonts w:hint="eastAsia"/>
          <w:sz w:val="22"/>
          <w:szCs w:val="22"/>
          <w:highlight w:val="none"/>
        </w:rPr>
        <w:t>本合同一式两份，自甲乙双方签字盖章完成签署之日起生效，甲乙双方各执一份。</w:t>
      </w:r>
    </w:p>
    <w:p w14:paraId="069FE7A2">
      <w:pPr>
        <w:pStyle w:val="11"/>
        <w:numPr>
          <w:ilvl w:val="0"/>
          <w:numId w:val="19"/>
        </w:numPr>
        <w:spacing w:line="360" w:lineRule="auto"/>
        <w:ind w:firstLineChars="0"/>
        <w:rPr>
          <w:sz w:val="22"/>
          <w:szCs w:val="22"/>
          <w:highlight w:val="none"/>
        </w:rPr>
      </w:pPr>
      <w:r>
        <w:rPr>
          <w:rFonts w:hint="eastAsia"/>
          <w:sz w:val="22"/>
          <w:szCs w:val="22"/>
          <w:highlight w:val="none"/>
        </w:rPr>
        <w:t>本合同执行期间，双方所有的正式信息均应以书面形式文件表达</w:t>
      </w:r>
      <w:r>
        <w:rPr>
          <w:rFonts w:hint="eastAsia" w:ascii="宋体" w:hAnsi="宋体"/>
          <w:bCs/>
          <w:sz w:val="22"/>
          <w:szCs w:val="22"/>
          <w:highlight w:val="none"/>
        </w:rPr>
        <w:t>（允许使用电子邮件）</w:t>
      </w:r>
      <w:r>
        <w:rPr>
          <w:rFonts w:hint="eastAsia"/>
          <w:sz w:val="22"/>
          <w:szCs w:val="22"/>
          <w:highlight w:val="none"/>
        </w:rPr>
        <w:t>。</w:t>
      </w:r>
    </w:p>
    <w:p w14:paraId="3F85DCF0">
      <w:pPr>
        <w:pStyle w:val="11"/>
        <w:numPr>
          <w:ilvl w:val="0"/>
          <w:numId w:val="19"/>
        </w:numPr>
        <w:spacing w:line="360" w:lineRule="auto"/>
        <w:ind w:firstLineChars="0"/>
        <w:rPr>
          <w:sz w:val="22"/>
          <w:szCs w:val="22"/>
          <w:highlight w:val="none"/>
        </w:rPr>
      </w:pPr>
      <w:r>
        <w:rPr>
          <w:rFonts w:hint="eastAsia"/>
          <w:sz w:val="22"/>
          <w:szCs w:val="22"/>
          <w:highlight w:val="none"/>
        </w:rPr>
        <w:t>本合同有效期为五年，自客户获证后合同有效截止日期同证书有效截止日期。任何一方终止本合同须提前30日书面通知对方，双方协商一致后始得终止。</w:t>
      </w:r>
    </w:p>
    <w:p w14:paraId="0D79A7AD">
      <w:pPr>
        <w:pStyle w:val="11"/>
        <w:numPr>
          <w:ilvl w:val="0"/>
          <w:numId w:val="1"/>
        </w:numPr>
        <w:spacing w:line="360" w:lineRule="auto"/>
        <w:ind w:firstLineChars="0"/>
        <w:rPr>
          <w:b/>
          <w:bCs/>
          <w:sz w:val="22"/>
          <w:szCs w:val="22"/>
          <w:highlight w:val="none"/>
        </w:rPr>
      </w:pPr>
      <w:r>
        <w:rPr>
          <w:rFonts w:hint="eastAsia"/>
          <w:b/>
          <w:bCs/>
          <w:sz w:val="22"/>
          <w:szCs w:val="22"/>
          <w:highlight w:val="none"/>
        </w:rPr>
        <w:t>合同争议的处理</w:t>
      </w:r>
    </w:p>
    <w:p w14:paraId="0F224C13">
      <w:pPr>
        <w:spacing w:line="360" w:lineRule="auto"/>
        <w:ind w:firstLine="440" w:firstLineChars="200"/>
        <w:rPr>
          <w:sz w:val="22"/>
          <w:szCs w:val="22"/>
          <w:highlight w:val="none"/>
        </w:rPr>
      </w:pPr>
      <w:r>
        <w:rPr>
          <w:rFonts w:hint="eastAsia"/>
          <w:sz w:val="22"/>
          <w:szCs w:val="22"/>
          <w:highlight w:val="none"/>
        </w:rPr>
        <w:t>因本合同所发生的争议，甲乙双方协商调解。协商调解不成，依法定程序向乙方所在地法院提出诉讼。</w:t>
      </w:r>
    </w:p>
    <w:p w14:paraId="31CD3F88">
      <w:pPr>
        <w:pStyle w:val="11"/>
        <w:numPr>
          <w:ilvl w:val="0"/>
          <w:numId w:val="1"/>
        </w:numPr>
        <w:spacing w:line="360" w:lineRule="auto"/>
        <w:ind w:firstLineChars="0"/>
        <w:rPr>
          <w:b/>
          <w:bCs/>
          <w:sz w:val="22"/>
          <w:szCs w:val="22"/>
          <w:highlight w:val="none"/>
        </w:rPr>
      </w:pPr>
      <w:r>
        <w:rPr>
          <w:rFonts w:hint="eastAsia"/>
          <w:b/>
          <w:bCs/>
          <w:sz w:val="22"/>
          <w:szCs w:val="22"/>
          <w:highlight w:val="none"/>
        </w:rPr>
        <w:t>违约责任</w:t>
      </w:r>
    </w:p>
    <w:p w14:paraId="2A0B1AF3">
      <w:pPr>
        <w:spacing w:line="360" w:lineRule="auto"/>
        <w:ind w:firstLine="440" w:firstLineChars="200"/>
        <w:rPr>
          <w:sz w:val="22"/>
          <w:szCs w:val="22"/>
          <w:highlight w:val="none"/>
        </w:rPr>
      </w:pPr>
      <w:r>
        <w:rPr>
          <w:rFonts w:hint="eastAsia"/>
          <w:sz w:val="22"/>
          <w:szCs w:val="22"/>
          <w:highlight w:val="none"/>
        </w:rPr>
        <w:t>甲乙双方必须认真执行合同，如签订合同后一方不能履行合同时，双方应协商解决。</w:t>
      </w:r>
      <w:r>
        <w:rPr>
          <w:rFonts w:hint="eastAsia" w:ascii="宋体" w:hAnsi="宋体"/>
          <w:sz w:val="22"/>
          <w:szCs w:val="22"/>
          <w:highlight w:val="none"/>
        </w:rPr>
        <w:t>协商调解不成，依法定程序向乙方所在地法院提出诉讼。</w:t>
      </w:r>
      <w:r>
        <w:rPr>
          <w:rFonts w:hint="eastAsia"/>
          <w:sz w:val="22"/>
          <w:szCs w:val="22"/>
          <w:highlight w:val="none"/>
        </w:rPr>
        <w:t>由于终止合同所产生的经济损失由责任方承担。甲方应按时缴纳和承担各项费用，逾期交费按欠费总额每日5‰向乙方支付违约金。</w:t>
      </w:r>
    </w:p>
    <w:p w14:paraId="0715AE41">
      <w:pPr>
        <w:pStyle w:val="11"/>
        <w:numPr>
          <w:ilvl w:val="0"/>
          <w:numId w:val="1"/>
        </w:numPr>
        <w:spacing w:line="360" w:lineRule="auto"/>
        <w:ind w:firstLineChars="0"/>
        <w:rPr>
          <w:b/>
          <w:bCs/>
          <w:sz w:val="22"/>
          <w:szCs w:val="22"/>
          <w:highlight w:val="none"/>
        </w:rPr>
      </w:pPr>
      <w:r>
        <w:rPr>
          <w:rFonts w:hint="eastAsia"/>
          <w:b/>
          <w:bCs/>
          <w:sz w:val="22"/>
          <w:szCs w:val="22"/>
          <w:highlight w:val="none"/>
        </w:rPr>
        <w:t>合同更改</w:t>
      </w:r>
    </w:p>
    <w:p w14:paraId="65CA9C26">
      <w:pPr>
        <w:spacing w:line="360" w:lineRule="auto"/>
        <w:ind w:firstLine="440" w:firstLineChars="200"/>
        <w:rPr>
          <w:sz w:val="22"/>
          <w:szCs w:val="22"/>
          <w:highlight w:val="none"/>
        </w:rPr>
      </w:pPr>
      <w:r>
        <w:rPr>
          <w:rFonts w:hint="eastAsia"/>
          <w:sz w:val="22"/>
          <w:szCs w:val="22"/>
          <w:highlight w:val="none"/>
        </w:rPr>
        <w:t>在合同有效期内，因合同一方提出变更合同条款时，经双方协商一致，应签署《合同更改补充协议》（见附件）。补充协议中新条款生效后，本合同中与其相抵触的条款失效。</w:t>
      </w:r>
    </w:p>
    <w:p w14:paraId="28D541E9">
      <w:pPr>
        <w:pStyle w:val="11"/>
        <w:numPr>
          <w:ilvl w:val="0"/>
          <w:numId w:val="1"/>
        </w:numPr>
        <w:spacing w:line="360" w:lineRule="auto"/>
        <w:ind w:firstLineChars="0"/>
        <w:rPr>
          <w:b/>
          <w:bCs/>
          <w:sz w:val="22"/>
          <w:szCs w:val="22"/>
          <w:highlight w:val="none"/>
        </w:rPr>
      </w:pPr>
      <w:r>
        <w:rPr>
          <w:rFonts w:hint="eastAsia"/>
          <w:b/>
          <w:bCs/>
          <w:sz w:val="22"/>
          <w:szCs w:val="22"/>
          <w:highlight w:val="none"/>
        </w:rPr>
        <w:t>通知和送达</w:t>
      </w:r>
    </w:p>
    <w:p w14:paraId="184E54E6">
      <w:pPr>
        <w:pStyle w:val="11"/>
        <w:numPr>
          <w:ilvl w:val="255"/>
          <w:numId w:val="0"/>
        </w:numPr>
        <w:spacing w:line="360" w:lineRule="auto"/>
        <w:ind w:firstLine="440" w:firstLineChars="200"/>
        <w:rPr>
          <w:b/>
          <w:bCs/>
          <w:sz w:val="22"/>
          <w:szCs w:val="22"/>
          <w:highlight w:val="none"/>
        </w:rPr>
      </w:pPr>
      <w:r>
        <w:rPr>
          <w:rFonts w:hint="eastAsia" w:ascii="宋体" w:hAnsi="宋体"/>
          <w:sz w:val="22"/>
          <w:szCs w:val="22"/>
          <w:highlight w:val="none"/>
        </w:rPr>
        <w:t>甲乙双方同意以本合同载明的通讯地址为有效送达地址，任何一方对上述地址有修改的，应及时</w:t>
      </w:r>
      <w:r>
        <w:rPr>
          <w:rFonts w:hint="eastAsia" w:ascii="宋体" w:hAnsi="宋体"/>
          <w:sz w:val="22"/>
          <w:szCs w:val="22"/>
          <w:highlight w:val="none"/>
          <w:lang w:val="en-US" w:eastAsia="zh-CN"/>
        </w:rPr>
        <w:t>通知</w:t>
      </w:r>
      <w:r>
        <w:rPr>
          <w:rFonts w:hint="eastAsia" w:ascii="宋体" w:hAnsi="宋体"/>
          <w:sz w:val="22"/>
          <w:szCs w:val="22"/>
          <w:highlight w:val="none"/>
        </w:rPr>
        <w:t>另一方，否则仍以载明地址为准。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101BB973">
      <w:pPr>
        <w:pStyle w:val="11"/>
        <w:numPr>
          <w:ilvl w:val="0"/>
          <w:numId w:val="1"/>
        </w:numPr>
        <w:spacing w:line="360" w:lineRule="auto"/>
        <w:ind w:firstLineChars="0"/>
        <w:rPr>
          <w:b/>
          <w:bCs/>
          <w:sz w:val="22"/>
          <w:szCs w:val="22"/>
          <w:highlight w:val="none"/>
        </w:rPr>
      </w:pPr>
      <w:r>
        <w:rPr>
          <w:rFonts w:hint="eastAsia"/>
          <w:b/>
          <w:bCs/>
          <w:sz w:val="22"/>
          <w:szCs w:val="22"/>
          <w:highlight w:val="none"/>
        </w:rPr>
        <w:t>其它事宜</w:t>
      </w:r>
    </w:p>
    <w:p w14:paraId="12A6259B">
      <w:pPr>
        <w:spacing w:line="360" w:lineRule="auto"/>
        <w:ind w:firstLine="440" w:firstLineChars="200"/>
        <w:rPr>
          <w:sz w:val="22"/>
          <w:szCs w:val="22"/>
          <w:highlight w:val="none"/>
        </w:rPr>
      </w:pPr>
      <w:r>
        <w:rPr>
          <w:rFonts w:hint="eastAsia"/>
          <w:sz w:val="22"/>
          <w:szCs w:val="22"/>
          <w:highlight w:val="none"/>
        </w:rPr>
        <w:t>甲方须按《汽车管理体系调查问卷》、《IATF16949申请书》的要求提交资料，乙方对申请信息评审通过后方可签署合同及安排审核。评审中涉及合同有关内容变更时，以双方文字确认为准。</w:t>
      </w:r>
    </w:p>
    <w:p w14:paraId="0AFD60F6">
      <w:pPr>
        <w:spacing w:line="360" w:lineRule="auto"/>
        <w:ind w:firstLine="440" w:firstLineChars="200"/>
        <w:rPr>
          <w:sz w:val="22"/>
          <w:szCs w:val="22"/>
          <w:highlight w:val="none"/>
        </w:rPr>
      </w:pPr>
      <w:r>
        <w:rPr>
          <w:rFonts w:hint="eastAsia"/>
          <w:sz w:val="22"/>
          <w:szCs w:val="22"/>
          <w:highlight w:val="none"/>
        </w:rPr>
        <w:t>本合同未尽事宜，甲乙双方可协商订立补充条款作为本合同的附件。</w:t>
      </w:r>
    </w:p>
    <w:p w14:paraId="357D72F1">
      <w:pPr>
        <w:spacing w:line="360" w:lineRule="auto"/>
        <w:rPr>
          <w:sz w:val="22"/>
          <w:szCs w:val="22"/>
          <w:highlight w:val="none"/>
          <w:u w:val="dotted"/>
        </w:rPr>
      </w:pPr>
      <w:r>
        <w:rPr>
          <w:rFonts w:hint="eastAsia"/>
          <w:sz w:val="22"/>
          <w:szCs w:val="22"/>
          <w:highlight w:val="none"/>
          <w:u w:val="dotted"/>
        </w:rPr>
        <w:t xml:space="preserve">                                                                                         </w:t>
      </w:r>
    </w:p>
    <w:p w14:paraId="28AF5C85">
      <w:pPr>
        <w:spacing w:line="360" w:lineRule="auto"/>
        <w:rPr>
          <w:sz w:val="22"/>
          <w:szCs w:val="22"/>
          <w:highlight w:val="none"/>
        </w:rPr>
      </w:pPr>
      <w:r>
        <w:rPr>
          <w:rFonts w:hint="eastAsia"/>
          <w:sz w:val="22"/>
          <w:szCs w:val="22"/>
          <w:highlight w:val="none"/>
        </w:rPr>
        <w:t>委托方（甲方）</w:t>
      </w:r>
      <w:permStart w:id="28" w:edGrp="everyone"/>
      <w:r>
        <w:rPr>
          <w:rFonts w:hint="eastAsia"/>
          <w:bCs/>
          <w:sz w:val="22"/>
          <w:szCs w:val="22"/>
          <w:highlight w:val="none"/>
          <w:u w:val="single"/>
        </w:rPr>
        <w:t xml:space="preserve">        </w:t>
      </w:r>
      <w:r>
        <w:rPr>
          <w:rFonts w:hint="eastAsia"/>
          <w:sz w:val="22"/>
          <w:szCs w:val="22"/>
          <w:highlight w:val="none"/>
          <w:u w:val="single"/>
        </w:rPr>
        <w:t xml:space="preserve">                               </w:t>
      </w:r>
      <w:permEnd w:id="28"/>
      <w:r>
        <w:rPr>
          <w:rFonts w:hint="eastAsia"/>
          <w:sz w:val="22"/>
          <w:szCs w:val="22"/>
          <w:highlight w:val="none"/>
        </w:rPr>
        <w:t xml:space="preserve"> 网址</w:t>
      </w:r>
      <w:permStart w:id="29" w:edGrp="everyone"/>
      <w:r>
        <w:rPr>
          <w:rFonts w:hint="eastAsia"/>
          <w:sz w:val="22"/>
          <w:szCs w:val="22"/>
          <w:highlight w:val="none"/>
        </w:rPr>
        <w:t xml:space="preserve"> </w:t>
      </w:r>
      <w:r>
        <w:rPr>
          <w:rFonts w:hint="eastAsia"/>
          <w:sz w:val="22"/>
          <w:szCs w:val="22"/>
          <w:highlight w:val="none"/>
          <w:u w:val="single"/>
        </w:rPr>
        <w:t xml:space="preserve">                             </w:t>
      </w:r>
      <w:permEnd w:id="29"/>
    </w:p>
    <w:p w14:paraId="6A7D3367">
      <w:pPr>
        <w:spacing w:line="360" w:lineRule="auto"/>
        <w:rPr>
          <w:sz w:val="22"/>
          <w:szCs w:val="22"/>
          <w:highlight w:val="none"/>
        </w:rPr>
      </w:pPr>
      <w:r>
        <w:rPr>
          <w:rFonts w:hint="eastAsia"/>
          <w:sz w:val="22"/>
          <w:szCs w:val="22"/>
          <w:highlight w:val="none"/>
        </w:rPr>
        <w:t xml:space="preserve">地址 </w:t>
      </w:r>
      <w:permStart w:id="30" w:edGrp="everyone"/>
      <w:r>
        <w:rPr>
          <w:rFonts w:hint="eastAsia"/>
          <w:sz w:val="22"/>
          <w:szCs w:val="22"/>
          <w:highlight w:val="none"/>
          <w:u w:val="single"/>
        </w:rPr>
        <w:t xml:space="preserve">                 </w:t>
      </w:r>
      <w:permEnd w:id="30"/>
      <w:r>
        <w:rPr>
          <w:rFonts w:hint="eastAsia"/>
          <w:sz w:val="22"/>
          <w:szCs w:val="22"/>
          <w:highlight w:val="none"/>
        </w:rPr>
        <w:t xml:space="preserve"> 省 </w:t>
      </w:r>
      <w:permStart w:id="31" w:edGrp="everyone"/>
      <w:r>
        <w:rPr>
          <w:rFonts w:hint="eastAsia"/>
          <w:sz w:val="22"/>
          <w:szCs w:val="22"/>
          <w:highlight w:val="none"/>
          <w:u w:val="single"/>
        </w:rPr>
        <w:t xml:space="preserve">                    </w:t>
      </w:r>
      <w:permEnd w:id="31"/>
      <w:r>
        <w:rPr>
          <w:rFonts w:hint="eastAsia"/>
          <w:sz w:val="22"/>
          <w:szCs w:val="22"/>
          <w:highlight w:val="none"/>
        </w:rPr>
        <w:t xml:space="preserve"> 市 </w:t>
      </w:r>
      <w:permStart w:id="32" w:edGrp="everyone"/>
      <w:r>
        <w:rPr>
          <w:rFonts w:hint="eastAsia"/>
          <w:sz w:val="22"/>
          <w:szCs w:val="22"/>
          <w:highlight w:val="none"/>
          <w:u w:val="single"/>
        </w:rPr>
        <w:t xml:space="preserve">                       </w:t>
      </w:r>
      <w:permEnd w:id="32"/>
    </w:p>
    <w:p w14:paraId="6029F57F">
      <w:pPr>
        <w:spacing w:line="360" w:lineRule="auto"/>
        <w:rPr>
          <w:sz w:val="22"/>
          <w:szCs w:val="22"/>
          <w:highlight w:val="none"/>
          <w:u w:val="single"/>
        </w:rPr>
      </w:pPr>
      <w:r>
        <w:rPr>
          <w:rFonts w:hint="eastAsia"/>
          <w:sz w:val="22"/>
          <w:szCs w:val="22"/>
          <w:highlight w:val="none"/>
        </w:rPr>
        <w:t xml:space="preserve">联 系 人 </w:t>
      </w:r>
      <w:permStart w:id="33" w:edGrp="everyone"/>
      <w:r>
        <w:rPr>
          <w:rFonts w:hint="eastAsia"/>
          <w:sz w:val="22"/>
          <w:szCs w:val="22"/>
          <w:highlight w:val="none"/>
          <w:u w:val="single"/>
        </w:rPr>
        <w:t xml:space="preserve">             </w:t>
      </w:r>
      <w:permEnd w:id="33"/>
      <w:r>
        <w:rPr>
          <w:rFonts w:hint="eastAsia"/>
          <w:sz w:val="22"/>
          <w:szCs w:val="22"/>
          <w:highlight w:val="none"/>
        </w:rPr>
        <w:t xml:space="preserve"> 电话 </w:t>
      </w:r>
      <w:permStart w:id="34" w:edGrp="everyone"/>
      <w:r>
        <w:rPr>
          <w:rFonts w:hint="eastAsia"/>
          <w:sz w:val="22"/>
          <w:szCs w:val="22"/>
          <w:highlight w:val="none"/>
          <w:u w:val="single"/>
        </w:rPr>
        <w:t xml:space="preserve">                  </w:t>
      </w:r>
      <w:permEnd w:id="34"/>
      <w:r>
        <w:rPr>
          <w:rFonts w:hint="eastAsia"/>
          <w:sz w:val="22"/>
          <w:szCs w:val="22"/>
          <w:highlight w:val="none"/>
        </w:rPr>
        <w:t xml:space="preserve">  E-mail </w:t>
      </w:r>
      <w:permStart w:id="35" w:edGrp="everyone"/>
      <w:r>
        <w:rPr>
          <w:rFonts w:hint="eastAsia"/>
          <w:sz w:val="22"/>
          <w:szCs w:val="22"/>
          <w:highlight w:val="none"/>
          <w:u w:val="single"/>
        </w:rPr>
        <w:t xml:space="preserve">                       </w:t>
      </w:r>
      <w:permEnd w:id="35"/>
    </w:p>
    <w:p w14:paraId="44BBE560">
      <w:pPr>
        <w:spacing w:line="360" w:lineRule="auto"/>
        <w:rPr>
          <w:sz w:val="22"/>
          <w:szCs w:val="22"/>
          <w:highlight w:val="none"/>
        </w:rPr>
      </w:pPr>
      <w:r>
        <w:rPr>
          <w:rFonts w:hint="eastAsia"/>
          <w:sz w:val="22"/>
          <w:szCs w:val="22"/>
          <w:highlight w:val="none"/>
        </w:rPr>
        <w:t>审核方（乙方）</w:t>
      </w:r>
      <w:r>
        <w:rPr>
          <w:spacing w:val="-20"/>
          <w:sz w:val="22"/>
          <w:szCs w:val="22"/>
          <w:highlight w:val="none"/>
          <w:u w:val="single"/>
          <w:lang w:val="en-GB"/>
        </w:rPr>
        <w:t xml:space="preserve">  </w:t>
      </w:r>
      <w:r>
        <w:rPr>
          <w:rFonts w:hint="eastAsia"/>
          <w:spacing w:val="-20"/>
          <w:sz w:val="22"/>
          <w:szCs w:val="22"/>
          <w:highlight w:val="none"/>
          <w:u w:val="single"/>
          <w:lang w:val="en-GB"/>
        </w:rPr>
        <w:t xml:space="preserve">上海恩可埃认证有限公司   </w:t>
      </w:r>
      <w:r>
        <w:rPr>
          <w:rFonts w:hint="eastAsia"/>
          <w:spacing w:val="-20"/>
          <w:sz w:val="22"/>
          <w:szCs w:val="22"/>
          <w:highlight w:val="none"/>
          <w:lang w:val="en-GB"/>
        </w:rPr>
        <w:t xml:space="preserve"> </w:t>
      </w:r>
      <w:r>
        <w:rPr>
          <w:sz w:val="22"/>
          <w:szCs w:val="22"/>
          <w:highlight w:val="none"/>
          <w:lang w:val="en-GB"/>
        </w:rPr>
        <w:t xml:space="preserve"> </w:t>
      </w:r>
      <w:r>
        <w:rPr>
          <w:rFonts w:hint="eastAsia"/>
          <w:sz w:val="22"/>
          <w:szCs w:val="22"/>
          <w:highlight w:val="none"/>
        </w:rPr>
        <w:t>http:</w:t>
      </w:r>
      <w:r>
        <w:rPr>
          <w:sz w:val="22"/>
          <w:szCs w:val="22"/>
          <w:highlight w:val="none"/>
          <w:u w:val="single"/>
          <w:lang w:val="en-GB"/>
        </w:rPr>
        <w:t xml:space="preserve"> </w:t>
      </w:r>
      <w:r>
        <w:rPr>
          <w:rFonts w:hint="eastAsia"/>
          <w:sz w:val="22"/>
          <w:szCs w:val="22"/>
          <w:highlight w:val="none"/>
          <w:u w:val="single"/>
          <w:lang w:val="en-GB"/>
        </w:rPr>
        <w:t>www.snqa.com.cn</w:t>
      </w:r>
      <w:r>
        <w:rPr>
          <w:sz w:val="22"/>
          <w:szCs w:val="22"/>
          <w:highlight w:val="none"/>
          <w:u w:val="single"/>
          <w:lang w:val="en-GB"/>
        </w:rPr>
        <w:t xml:space="preserve">     </w:t>
      </w:r>
    </w:p>
    <w:p w14:paraId="775B5E5A">
      <w:pPr>
        <w:spacing w:line="360" w:lineRule="auto"/>
        <w:rPr>
          <w:sz w:val="22"/>
          <w:szCs w:val="22"/>
          <w:highlight w:val="none"/>
          <w:u w:val="single"/>
        </w:rPr>
      </w:pPr>
      <w:r>
        <w:rPr>
          <w:rFonts w:hint="eastAsia"/>
          <w:sz w:val="22"/>
          <w:szCs w:val="22"/>
          <w:highlight w:val="none"/>
        </w:rPr>
        <w:t xml:space="preserve">通讯地址 </w:t>
      </w:r>
      <w:r>
        <w:rPr>
          <w:rFonts w:hint="eastAsia"/>
          <w:sz w:val="22"/>
          <w:szCs w:val="22"/>
          <w:highlight w:val="none"/>
          <w:u w:val="single"/>
        </w:rPr>
        <w:t xml:space="preserve"> 中国（上海）自由贸易试验区陆家嘴环路958号2201室    </w:t>
      </w:r>
      <w:r>
        <w:rPr>
          <w:rFonts w:hint="eastAsia"/>
          <w:sz w:val="22"/>
          <w:szCs w:val="22"/>
          <w:highlight w:val="none"/>
        </w:rPr>
        <w:t xml:space="preserve"> </w:t>
      </w:r>
    </w:p>
    <w:p w14:paraId="073F91AB">
      <w:pPr>
        <w:spacing w:line="360" w:lineRule="auto"/>
        <w:rPr>
          <w:sz w:val="22"/>
          <w:szCs w:val="22"/>
          <w:highlight w:val="none"/>
        </w:rPr>
      </w:pPr>
      <w:bookmarkStart w:id="7" w:name="OLE_LINK2"/>
      <w:bookmarkStart w:id="8" w:name="OLE_LINK1"/>
      <w:bookmarkStart w:id="9" w:name="OLE_LINK3"/>
      <w:bookmarkStart w:id="10" w:name="OLE_LINK4"/>
      <w:r>
        <w:rPr>
          <w:rFonts w:hint="eastAsia"/>
          <w:sz w:val="22"/>
          <w:szCs w:val="22"/>
          <w:highlight w:val="none"/>
        </w:rPr>
        <w:t xml:space="preserve">联 系 人 </w:t>
      </w:r>
      <w:r>
        <w:rPr>
          <w:rFonts w:hint="eastAsia"/>
          <w:sz w:val="22"/>
          <w:szCs w:val="22"/>
          <w:highlight w:val="none"/>
          <w:u w:val="single"/>
        </w:rPr>
        <w:t xml:space="preserve"> 张丽敏  尹凌欣      </w:t>
      </w:r>
      <w:bookmarkEnd w:id="7"/>
      <w:bookmarkEnd w:id="8"/>
      <w:r>
        <w:rPr>
          <w:rFonts w:hint="eastAsia"/>
          <w:sz w:val="22"/>
          <w:szCs w:val="22"/>
          <w:highlight w:val="none"/>
        </w:rPr>
        <w:t xml:space="preserve">  电话 </w:t>
      </w:r>
      <w:r>
        <w:rPr>
          <w:rFonts w:hint="eastAsia"/>
          <w:sz w:val="22"/>
          <w:szCs w:val="22"/>
          <w:highlight w:val="none"/>
          <w:u w:val="single"/>
        </w:rPr>
        <w:t>021-</w:t>
      </w:r>
      <w:r>
        <w:rPr>
          <w:sz w:val="22"/>
          <w:szCs w:val="22"/>
          <w:highlight w:val="none"/>
          <w:u w:val="single"/>
        </w:rPr>
        <w:t>50810758</w:t>
      </w:r>
      <w:r>
        <w:rPr>
          <w:rFonts w:hint="eastAsia"/>
          <w:sz w:val="22"/>
          <w:szCs w:val="22"/>
          <w:highlight w:val="none"/>
          <w:u w:val="single"/>
        </w:rPr>
        <w:t xml:space="preserve">/68671513  </w:t>
      </w:r>
      <w:bookmarkEnd w:id="9"/>
      <w:bookmarkEnd w:id="10"/>
      <w:r>
        <w:rPr>
          <w:rFonts w:hint="eastAsia"/>
          <w:sz w:val="22"/>
          <w:szCs w:val="22"/>
          <w:highlight w:val="none"/>
          <w:u w:val="single"/>
        </w:rPr>
        <w:t xml:space="preserve">    </w:t>
      </w:r>
      <w:r>
        <w:rPr>
          <w:rFonts w:hint="eastAsia"/>
          <w:sz w:val="22"/>
          <w:szCs w:val="22"/>
          <w:highlight w:val="none"/>
        </w:rPr>
        <w:t xml:space="preserve"> </w:t>
      </w:r>
    </w:p>
    <w:p w14:paraId="69DB6D0E">
      <w:pPr>
        <w:spacing w:line="360" w:lineRule="auto"/>
        <w:rPr>
          <w:rFonts w:hint="eastAsia"/>
          <w:sz w:val="22"/>
          <w:szCs w:val="22"/>
          <w:highlight w:val="none"/>
        </w:rPr>
      </w:pPr>
      <w:r>
        <w:rPr>
          <w:rFonts w:hint="eastAsia"/>
          <w:sz w:val="22"/>
          <w:szCs w:val="22"/>
          <w:highlight w:val="none"/>
        </w:rPr>
        <w:t>开户名称</w:t>
      </w:r>
      <w:r>
        <w:rPr>
          <w:rFonts w:hint="eastAsia"/>
          <w:sz w:val="22"/>
          <w:szCs w:val="22"/>
          <w:highlight w:val="none"/>
          <w:u w:val="single"/>
        </w:rPr>
        <w:t xml:space="preserve"> 上海恩可埃认证有限公司</w:t>
      </w:r>
      <w:r>
        <w:rPr>
          <w:rFonts w:hint="eastAsia"/>
          <w:sz w:val="22"/>
          <w:szCs w:val="22"/>
          <w:highlight w:val="none"/>
        </w:rPr>
        <w:t xml:space="preserve"> 账号</w:t>
      </w:r>
      <w:r>
        <w:rPr>
          <w:rFonts w:hint="eastAsia"/>
          <w:sz w:val="22"/>
          <w:szCs w:val="22"/>
          <w:highlight w:val="none"/>
          <w:u w:val="single"/>
        </w:rPr>
        <w:t xml:space="preserve"> 31001527400056001907</w:t>
      </w:r>
      <w:r>
        <w:rPr>
          <w:rFonts w:hint="eastAsia"/>
          <w:sz w:val="22"/>
          <w:szCs w:val="22"/>
          <w:highlight w:val="none"/>
        </w:rPr>
        <w:t xml:space="preserve"> </w:t>
      </w:r>
    </w:p>
    <w:p w14:paraId="2CC4010C">
      <w:pPr>
        <w:spacing w:line="360" w:lineRule="auto"/>
        <w:rPr>
          <w:sz w:val="22"/>
          <w:szCs w:val="22"/>
          <w:highlight w:val="none"/>
          <w:u w:val="single"/>
        </w:rPr>
      </w:pPr>
      <w:r>
        <w:rPr>
          <w:rFonts w:hint="eastAsia"/>
          <w:sz w:val="22"/>
          <w:szCs w:val="22"/>
          <w:highlight w:val="none"/>
        </w:rPr>
        <w:t>开户银行</w:t>
      </w:r>
      <w:r>
        <w:rPr>
          <w:rFonts w:hint="eastAsia"/>
          <w:sz w:val="22"/>
          <w:szCs w:val="22"/>
          <w:highlight w:val="none"/>
          <w:u w:val="single"/>
        </w:rPr>
        <w:t xml:space="preserve"> </w:t>
      </w:r>
      <w:r>
        <w:rPr>
          <w:rFonts w:hint="eastAsia"/>
          <w:sz w:val="22"/>
          <w:szCs w:val="22"/>
          <w:highlight w:val="none"/>
          <w:u w:val="single"/>
          <w:lang w:val="en-US" w:eastAsia="zh-CN"/>
        </w:rPr>
        <w:t>中国</w:t>
      </w:r>
      <w:r>
        <w:rPr>
          <w:rFonts w:hint="eastAsia"/>
          <w:sz w:val="22"/>
          <w:szCs w:val="22"/>
          <w:highlight w:val="none"/>
          <w:u w:val="single"/>
        </w:rPr>
        <w:t>建行</w:t>
      </w:r>
      <w:r>
        <w:rPr>
          <w:rFonts w:hint="eastAsia"/>
          <w:sz w:val="22"/>
          <w:szCs w:val="22"/>
          <w:highlight w:val="none"/>
          <w:u w:val="single"/>
          <w:lang w:val="en-US" w:eastAsia="zh-CN"/>
        </w:rPr>
        <w:t>银行股份有限公司</w:t>
      </w:r>
      <w:r>
        <w:rPr>
          <w:rFonts w:hint="eastAsia"/>
          <w:sz w:val="22"/>
          <w:szCs w:val="22"/>
          <w:highlight w:val="none"/>
          <w:u w:val="single"/>
        </w:rPr>
        <w:t xml:space="preserve">上海宝武大厦支行   </w:t>
      </w:r>
    </w:p>
    <w:p w14:paraId="7668FE7A">
      <w:pPr>
        <w:spacing w:line="360" w:lineRule="auto"/>
        <w:rPr>
          <w:sz w:val="22"/>
          <w:szCs w:val="22"/>
          <w:highlight w:val="none"/>
        </w:rPr>
      </w:pPr>
      <w:r>
        <w:rPr>
          <w:rFonts w:ascii="宋体" w:hAnsi="宋体" w:cs="宋体"/>
          <w:kern w:val="0"/>
          <w:sz w:val="24"/>
          <w:highlight w:val="none"/>
        </w:rPr>
        <w:t>上海恩可埃认证有限公司分支机构：  </w:t>
      </w:r>
      <w:sdt>
        <w:sdtPr>
          <w:rPr>
            <w:rFonts w:ascii="宋体" w:hAnsi="宋体" w:cs="宋体"/>
            <w:kern w:val="0"/>
            <w:sz w:val="24"/>
            <w:highlight w:val="none"/>
          </w:rPr>
          <w:id w:val="1931386805"/>
          <w:lock w:val="sdtLocked"/>
          <w:placeholder>
            <w:docPart w:val="DefaultPlaceholder_1082065159"/>
          </w:placeholder>
          <w:dropDownList>
            <w:listItem w:displayText="选择一项" w:value="选择一项"/>
            <w:listItem w:displayText="上海恩可埃认证有限公司北京分公司" w:value="上海恩可埃认证有限公司北京分公司"/>
            <w:listItem w:displayText="上海恩可埃认证有限公司广州分公司" w:value="上海恩可埃认证有限公司广州分公司"/>
            <w:listItem w:displayText="上海恩可埃认证有限公司杭州分公司" w:value="上海恩可埃认证有限公司杭州分公司"/>
            <w:listItem w:displayText="上海恩可埃认证有限公司青岛分公司" w:value="上海恩可埃认证有限公司青岛分公司"/>
            <w:listItem w:displayText="上海恩可埃认证有限公司深圳分公司" w:value="上海恩可埃认证有限公司深圳分公司"/>
            <w:listItem w:displayText="上海恩可埃认证有限公司苏州分公司" w:value="上海恩可埃认证有限公司苏州分公司"/>
            <w:listItem w:displayText="上海恩可埃认证有限公司武汉分公司" w:value="上海恩可埃认证有限公司武汉分公司"/>
            <w:listItem w:displayText="上海恩可埃认证有限公司长沙分公司" w:value="上海恩可埃认证有限公司长沙分公司"/>
            <w:listItem w:displayText="上海恩可埃认证有限公司佛山分公司" w:value="上海恩可埃认证有限公司佛山分公司"/>
            <w:listItem w:displayText="上海恩可埃认证有限公司东莞分公司" w:value="上海恩可埃认证有限公司东莞分公司"/>
            <w:listItem w:displayText="上海恩可埃认证有限公司嘉兴分公司" w:value="上海恩可埃认证有限公司嘉兴分公司"/>
            <w:listItem w:displayText="上海恩可埃认证有限公司南京分公司" w:value="上海恩可埃认证有限公司南京分公司"/>
            <w:listItem w:displayText="上海恩可埃认证有限公司重庆分公司" w:value="上海恩可埃认证有限公司重庆分公司"/>
            <w:listItem w:displayText="上海恩可埃认证有限公司宁波分公司" w:value="上海恩可埃认证有限公司宁波分公司"/>
          </w:dropDownList>
        </w:sdtPr>
        <w:sdtEndPr>
          <w:rPr>
            <w:rFonts w:ascii="宋体" w:hAnsi="宋体" w:cs="宋体"/>
            <w:kern w:val="0"/>
            <w:sz w:val="24"/>
            <w:highlight w:val="none"/>
          </w:rPr>
        </w:sdtEndPr>
        <w:sdtContent>
          <w:permStart w:id="36" w:edGrp="everyone"/>
          <w:r>
            <w:rPr>
              <w:rFonts w:ascii="宋体" w:hAnsi="宋体" w:cs="宋体"/>
              <w:kern w:val="0"/>
              <w:sz w:val="24"/>
              <w:highlight w:val="none"/>
            </w:rPr>
            <w:t>选择一项</w:t>
          </w:r>
          <w:permEnd w:id="36"/>
        </w:sdtContent>
      </w:sdt>
      <w:r>
        <w:rPr>
          <w:rFonts w:ascii="宋体" w:hAnsi="宋体" w:cs="宋体"/>
          <w:kern w:val="0"/>
          <w:sz w:val="24"/>
          <w:highlight w:val="none"/>
        </w:rPr>
        <w:br w:type="textWrapping"/>
      </w:r>
      <w:r>
        <w:rPr>
          <w:rFonts w:hint="eastAsia"/>
          <w:sz w:val="22"/>
          <w:szCs w:val="22"/>
          <w:highlight w:val="none"/>
        </w:rPr>
        <w:t xml:space="preserve">通讯地址 </w:t>
      </w:r>
      <w:permStart w:id="37" w:edGrp="everyone"/>
      <w:r>
        <w:rPr>
          <w:rFonts w:hint="eastAsia"/>
          <w:sz w:val="22"/>
          <w:szCs w:val="22"/>
          <w:highlight w:val="none"/>
          <w:u w:val="single"/>
        </w:rPr>
        <w:t xml:space="preserve">              </w:t>
      </w:r>
      <w:permEnd w:id="37"/>
      <w:r>
        <w:rPr>
          <w:rFonts w:hint="eastAsia"/>
          <w:sz w:val="22"/>
          <w:szCs w:val="22"/>
          <w:highlight w:val="none"/>
        </w:rPr>
        <w:t xml:space="preserve"> 省 </w:t>
      </w:r>
      <w:permStart w:id="38" w:edGrp="everyone"/>
      <w:r>
        <w:rPr>
          <w:rFonts w:hint="eastAsia"/>
          <w:sz w:val="22"/>
          <w:szCs w:val="22"/>
          <w:highlight w:val="none"/>
          <w:u w:val="single"/>
        </w:rPr>
        <w:t xml:space="preserve">           </w:t>
      </w:r>
      <w:bookmarkStart w:id="11" w:name="_GoBack"/>
      <w:bookmarkEnd w:id="11"/>
      <w:r>
        <w:rPr>
          <w:rFonts w:hint="eastAsia"/>
          <w:sz w:val="22"/>
          <w:szCs w:val="22"/>
          <w:highlight w:val="none"/>
          <w:u w:val="single"/>
        </w:rPr>
        <w:t xml:space="preserve">        </w:t>
      </w:r>
      <w:permEnd w:id="38"/>
      <w:r>
        <w:rPr>
          <w:rFonts w:hint="eastAsia"/>
          <w:sz w:val="22"/>
          <w:szCs w:val="22"/>
          <w:highlight w:val="none"/>
        </w:rPr>
        <w:t xml:space="preserve"> 市 </w:t>
      </w:r>
      <w:permStart w:id="39" w:edGrp="everyone"/>
      <w:r>
        <w:rPr>
          <w:rFonts w:hint="eastAsia"/>
          <w:sz w:val="22"/>
          <w:szCs w:val="22"/>
          <w:highlight w:val="none"/>
          <w:u w:val="single"/>
        </w:rPr>
        <w:t xml:space="preserve">                       </w:t>
      </w:r>
      <w:permEnd w:id="39"/>
    </w:p>
    <w:p w14:paraId="34F77559">
      <w:pPr>
        <w:spacing w:line="360" w:lineRule="auto"/>
        <w:rPr>
          <w:sz w:val="22"/>
          <w:szCs w:val="22"/>
          <w:highlight w:val="none"/>
          <w:u w:val="single"/>
        </w:rPr>
      </w:pPr>
      <w:r>
        <w:rPr>
          <w:rFonts w:hint="eastAsia"/>
          <w:sz w:val="22"/>
          <w:szCs w:val="22"/>
          <w:highlight w:val="none"/>
        </w:rPr>
        <w:t xml:space="preserve">联 系 人 </w:t>
      </w:r>
      <w:permStart w:id="40" w:edGrp="everyone"/>
      <w:r>
        <w:rPr>
          <w:rFonts w:hint="eastAsia"/>
          <w:sz w:val="22"/>
          <w:szCs w:val="22"/>
          <w:highlight w:val="none"/>
          <w:u w:val="single"/>
        </w:rPr>
        <w:t xml:space="preserve">              </w:t>
      </w:r>
      <w:permEnd w:id="40"/>
      <w:r>
        <w:rPr>
          <w:rFonts w:hint="eastAsia"/>
          <w:sz w:val="22"/>
          <w:szCs w:val="22"/>
          <w:highlight w:val="none"/>
        </w:rPr>
        <w:t xml:space="preserve"> 电话 </w:t>
      </w:r>
      <w:permStart w:id="41" w:edGrp="everyone"/>
      <w:r>
        <w:rPr>
          <w:rFonts w:hint="eastAsia"/>
          <w:sz w:val="22"/>
          <w:szCs w:val="22"/>
          <w:highlight w:val="none"/>
          <w:u w:val="single"/>
        </w:rPr>
        <w:t xml:space="preserve">                 </w:t>
      </w:r>
      <w:permEnd w:id="41"/>
      <w:r>
        <w:rPr>
          <w:rFonts w:hint="eastAsia"/>
          <w:sz w:val="22"/>
          <w:szCs w:val="22"/>
          <w:highlight w:val="none"/>
        </w:rPr>
        <w:t xml:space="preserve">  E-mail </w:t>
      </w:r>
      <w:permStart w:id="42" w:edGrp="everyone"/>
      <w:r>
        <w:rPr>
          <w:rFonts w:hint="eastAsia"/>
          <w:sz w:val="22"/>
          <w:szCs w:val="22"/>
          <w:highlight w:val="none"/>
          <w:u w:val="single"/>
        </w:rPr>
        <w:t xml:space="preserve">                       </w:t>
      </w:r>
      <w:permEnd w:id="42"/>
    </w:p>
    <w:p w14:paraId="145DA7E2">
      <w:pPr>
        <w:spacing w:line="360" w:lineRule="auto"/>
        <w:rPr>
          <w:sz w:val="22"/>
          <w:szCs w:val="22"/>
          <w:highlight w:val="none"/>
        </w:rPr>
      </w:pPr>
    </w:p>
    <w:p w14:paraId="67FE46B1">
      <w:pPr>
        <w:spacing w:line="360" w:lineRule="auto"/>
        <w:rPr>
          <w:sz w:val="22"/>
          <w:szCs w:val="22"/>
          <w:highlight w:val="none"/>
        </w:rPr>
      </w:pPr>
      <w:r>
        <w:rPr>
          <w:rFonts w:hint="eastAsia"/>
          <w:sz w:val="22"/>
          <w:szCs w:val="22"/>
          <w:highlight w:val="none"/>
        </w:rPr>
        <w:t>甲方法定代表人或委托人：</w:t>
      </w:r>
      <w:permStart w:id="43" w:edGrp="everyone"/>
      <w:r>
        <w:rPr>
          <w:rFonts w:hint="eastAsia"/>
          <w:sz w:val="22"/>
          <w:szCs w:val="22"/>
          <w:highlight w:val="none"/>
          <w:u w:val="single"/>
        </w:rPr>
        <w:t xml:space="preserve">               </w:t>
      </w:r>
      <w:permEnd w:id="43"/>
      <w:r>
        <w:rPr>
          <w:rFonts w:hint="eastAsia"/>
          <w:sz w:val="22"/>
          <w:szCs w:val="22"/>
          <w:highlight w:val="none"/>
        </w:rPr>
        <w:t xml:space="preserve">       乙方法定代表人或委托人：</w:t>
      </w:r>
      <w:permStart w:id="44" w:edGrp="everyone"/>
      <w:r>
        <w:rPr>
          <w:rFonts w:hint="eastAsia"/>
          <w:sz w:val="22"/>
          <w:szCs w:val="22"/>
          <w:highlight w:val="none"/>
          <w:u w:val="single"/>
        </w:rPr>
        <w:t xml:space="preserve">                  </w:t>
      </w:r>
      <w:permEnd w:id="44"/>
    </w:p>
    <w:p w14:paraId="20EAD9FB">
      <w:pPr>
        <w:spacing w:line="360" w:lineRule="auto"/>
        <w:rPr>
          <w:sz w:val="22"/>
          <w:szCs w:val="22"/>
          <w:highlight w:val="none"/>
        </w:rPr>
      </w:pPr>
      <w:r>
        <w:rPr>
          <w:rFonts w:hint="eastAsia"/>
          <w:sz w:val="22"/>
          <w:szCs w:val="22"/>
          <w:highlight w:val="none"/>
        </w:rPr>
        <w:t>单位公章：</w:t>
      </w:r>
      <w:permStart w:id="45" w:edGrp="everyone"/>
      <w:r>
        <w:rPr>
          <w:rFonts w:hint="eastAsia"/>
          <w:sz w:val="22"/>
          <w:szCs w:val="22"/>
          <w:highlight w:val="none"/>
          <w:u w:val="single"/>
        </w:rPr>
        <w:t xml:space="preserve">                             </w:t>
      </w:r>
      <w:permEnd w:id="45"/>
      <w:r>
        <w:rPr>
          <w:rFonts w:hint="eastAsia"/>
          <w:sz w:val="22"/>
          <w:szCs w:val="22"/>
          <w:highlight w:val="none"/>
        </w:rPr>
        <w:t xml:space="preserve">       单位公章：</w:t>
      </w:r>
      <w:permStart w:id="46" w:edGrp="everyone"/>
      <w:r>
        <w:rPr>
          <w:rFonts w:hint="eastAsia"/>
          <w:sz w:val="22"/>
          <w:szCs w:val="22"/>
          <w:highlight w:val="none"/>
          <w:u w:val="single"/>
        </w:rPr>
        <w:t xml:space="preserve">                                </w:t>
      </w:r>
      <w:permEnd w:id="46"/>
    </w:p>
    <w:p w14:paraId="6CB93850">
      <w:pPr>
        <w:spacing w:line="360" w:lineRule="auto"/>
        <w:rPr>
          <w:sz w:val="22"/>
          <w:szCs w:val="22"/>
          <w:highlight w:val="none"/>
        </w:rPr>
      </w:pPr>
      <w:r>
        <w:rPr>
          <w:rFonts w:hint="eastAsia"/>
          <w:sz w:val="22"/>
          <w:szCs w:val="22"/>
          <w:highlight w:val="none"/>
        </w:rPr>
        <w:t>日    期：</w:t>
      </w:r>
      <w:permStart w:id="47" w:edGrp="everyone"/>
      <w:r>
        <w:rPr>
          <w:rFonts w:hint="eastAsia"/>
          <w:sz w:val="22"/>
          <w:szCs w:val="22"/>
          <w:highlight w:val="none"/>
          <w:u w:val="single"/>
        </w:rPr>
        <w:t xml:space="preserve">      </w:t>
      </w:r>
      <w:permEnd w:id="47"/>
      <w:r>
        <w:rPr>
          <w:rFonts w:hint="eastAsia"/>
          <w:sz w:val="22"/>
          <w:szCs w:val="22"/>
          <w:highlight w:val="none"/>
        </w:rPr>
        <w:t xml:space="preserve"> 年 </w:t>
      </w:r>
      <w:permStart w:id="48" w:edGrp="everyone"/>
      <w:r>
        <w:rPr>
          <w:rFonts w:hint="eastAsia"/>
          <w:sz w:val="22"/>
          <w:szCs w:val="22"/>
          <w:highlight w:val="none"/>
          <w:u w:val="single"/>
        </w:rPr>
        <w:t xml:space="preserve">      </w:t>
      </w:r>
      <w:permEnd w:id="48"/>
      <w:r>
        <w:rPr>
          <w:rFonts w:hint="eastAsia"/>
          <w:sz w:val="22"/>
          <w:szCs w:val="22"/>
          <w:highlight w:val="none"/>
        </w:rPr>
        <w:t xml:space="preserve"> 月 </w:t>
      </w:r>
      <w:permStart w:id="49" w:edGrp="everyone"/>
      <w:r>
        <w:rPr>
          <w:rFonts w:hint="eastAsia"/>
          <w:sz w:val="22"/>
          <w:szCs w:val="22"/>
          <w:highlight w:val="none"/>
          <w:u w:val="single"/>
        </w:rPr>
        <w:t xml:space="preserve">      </w:t>
      </w:r>
      <w:permEnd w:id="49"/>
      <w:r>
        <w:rPr>
          <w:rFonts w:hint="eastAsia"/>
          <w:sz w:val="22"/>
          <w:szCs w:val="22"/>
          <w:highlight w:val="none"/>
        </w:rPr>
        <w:t xml:space="preserve"> 日       日    期：</w:t>
      </w:r>
      <w:permStart w:id="50" w:edGrp="everyone"/>
      <w:r>
        <w:rPr>
          <w:rFonts w:hint="eastAsia"/>
          <w:sz w:val="22"/>
          <w:szCs w:val="22"/>
          <w:highlight w:val="none"/>
          <w:u w:val="single"/>
        </w:rPr>
        <w:t xml:space="preserve">        </w:t>
      </w:r>
      <w:permEnd w:id="50"/>
      <w:r>
        <w:rPr>
          <w:rFonts w:hint="eastAsia"/>
          <w:sz w:val="22"/>
          <w:szCs w:val="22"/>
          <w:highlight w:val="none"/>
        </w:rPr>
        <w:t xml:space="preserve"> 年 </w:t>
      </w:r>
      <w:permStart w:id="51" w:edGrp="everyone"/>
      <w:r>
        <w:rPr>
          <w:rFonts w:hint="eastAsia"/>
          <w:sz w:val="22"/>
          <w:szCs w:val="22"/>
          <w:highlight w:val="none"/>
          <w:u w:val="single"/>
        </w:rPr>
        <w:t xml:space="preserve">       </w:t>
      </w:r>
      <w:permEnd w:id="51"/>
      <w:r>
        <w:rPr>
          <w:rFonts w:hint="eastAsia"/>
          <w:sz w:val="22"/>
          <w:szCs w:val="22"/>
          <w:highlight w:val="none"/>
        </w:rPr>
        <w:t xml:space="preserve"> 月 </w:t>
      </w:r>
      <w:permStart w:id="52" w:edGrp="everyone"/>
      <w:r>
        <w:rPr>
          <w:rFonts w:hint="eastAsia"/>
          <w:sz w:val="22"/>
          <w:szCs w:val="22"/>
          <w:highlight w:val="none"/>
          <w:u w:val="single"/>
        </w:rPr>
        <w:t xml:space="preserve">      </w:t>
      </w:r>
      <w:permEnd w:id="52"/>
      <w:r>
        <w:rPr>
          <w:rFonts w:hint="eastAsia"/>
          <w:sz w:val="22"/>
          <w:szCs w:val="22"/>
          <w:highlight w:val="none"/>
        </w:rPr>
        <w:t xml:space="preserve"> 日</w:t>
      </w:r>
    </w:p>
    <w:sectPr>
      <w:headerReference r:id="rId3" w:type="default"/>
      <w:footerReference r:id="rId4" w:type="default"/>
      <w:footerReference r:id="rId5" w:type="even"/>
      <w:pgSz w:w="11906" w:h="16838"/>
      <w:pgMar w:top="1418" w:right="1134" w:bottom="1418" w:left="1134" w:header="340"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548126"/>
      <w:docPartObj>
        <w:docPartGallery w:val="autotext"/>
      </w:docPartObj>
    </w:sdtPr>
    <w:sdtContent>
      <w:sdt>
        <w:sdtPr>
          <w:id w:val="1728636285"/>
          <w:docPartObj>
            <w:docPartGallery w:val="autotext"/>
          </w:docPartObj>
        </w:sdtPr>
        <w:sdtContent>
          <w:p w14:paraId="20F27FDD">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22007F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18A1">
    <w:pPr>
      <w:pStyle w:val="3"/>
      <w:framePr w:wrap="around" w:vAnchor="text" w:hAnchor="margin" w:xAlign="center" w:y="1"/>
      <w:rPr>
        <w:rStyle w:val="7"/>
      </w:rPr>
    </w:pPr>
    <w:r>
      <w:fldChar w:fldCharType="begin"/>
    </w:r>
    <w:r>
      <w:rPr>
        <w:rStyle w:val="7"/>
      </w:rPr>
      <w:instrText xml:space="preserve">PAGE  </w:instrText>
    </w:r>
    <w:r>
      <w:fldChar w:fldCharType="end"/>
    </w:r>
  </w:p>
  <w:p w14:paraId="3E30B87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F0AF">
    <w:pPr>
      <w:pStyle w:val="4"/>
      <w:tabs>
        <w:tab w:val="left" w:pos="9660"/>
      </w:tabs>
      <w:wordWrap w:val="0"/>
      <w:ind w:right="-22"/>
      <w:jc w:val="both"/>
      <w:rPr>
        <w:rFonts w:hint="eastAsia" w:eastAsia="宋体"/>
        <w:color w:val="FF0000"/>
        <w:lang w:eastAsia="zh-CN"/>
      </w:rPr>
    </w:pPr>
    <w:r>
      <w:rPr>
        <w:rFonts w:hint="eastAsia" w:ascii="Times New Roman" w:hAnsi="Times New Roman"/>
        <w:b w:val="0"/>
        <w:sz w:val="21"/>
        <w:szCs w:val="21"/>
        <w:lang w:val="en-US" w:eastAsia="zh-CN"/>
      </w:rPr>
      <w:t>上海恩可埃认证有限公司</w:t>
    </w:r>
    <w:r>
      <w:rPr>
        <w:rFonts w:hint="eastAsia"/>
        <w:sz w:val="21"/>
        <w:szCs w:val="21"/>
      </w:rPr>
      <w:t xml:space="preserve">  </w:t>
    </w:r>
    <w:r>
      <w:rPr>
        <w:rFonts w:hint="eastAsia"/>
      </w:rPr>
      <w:t xml:space="preserve">                                           </w:t>
    </w:r>
    <w:r>
      <w:rPr>
        <w:rFonts w:hint="eastAsia"/>
        <w:lang w:val="en-US" w:eastAsia="zh-CN"/>
      </w:rPr>
      <w:t xml:space="preserve">        </w:t>
    </w:r>
    <w:r>
      <w:rPr>
        <w:rFonts w:hint="eastAsia"/>
      </w:rPr>
      <w:t xml:space="preserve">       </w:t>
    </w:r>
    <w:r>
      <w:rPr>
        <w:rFonts w:hint="eastAsia"/>
        <w:sz w:val="21"/>
        <w:szCs w:val="21"/>
      </w:rPr>
      <w:t xml:space="preserve"> SNQA/G-12/2</w:t>
    </w:r>
    <w:r>
      <w:rPr>
        <w:rFonts w:hint="eastAsia"/>
        <w:sz w:val="21"/>
        <w:szCs w:val="21"/>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9349C"/>
    <w:multiLevelType w:val="multilevel"/>
    <w:tmpl w:val="B4A9349C"/>
    <w:lvl w:ilvl="0" w:tentative="0">
      <w:start w:val="1"/>
      <w:numFmt w:val="decimalEnclosedCircleChinese"/>
      <w:lvlText w:val="%1　"/>
      <w:lvlJc w:val="left"/>
      <w:pPr>
        <w:ind w:left="660" w:hanging="440"/>
      </w:pPr>
      <w:rPr>
        <w:rFonts w:hint="eastAsia"/>
      </w:rPr>
    </w:lvl>
    <w:lvl w:ilvl="1" w:tentative="0">
      <w:start w:val="1"/>
      <w:numFmt w:val="lowerLetter"/>
      <w:lvlText w:val="%2)"/>
      <w:lvlJc w:val="left"/>
      <w:pPr>
        <w:ind w:left="1100" w:hanging="440"/>
      </w:pPr>
    </w:lvl>
    <w:lvl w:ilvl="2" w:tentative="0">
      <w:start w:val="1"/>
      <w:numFmt w:val="lowerRoman"/>
      <w:lvlText w:val="%3."/>
      <w:lvlJc w:val="right"/>
      <w:pPr>
        <w:ind w:left="1540" w:hanging="440"/>
      </w:pPr>
    </w:lvl>
    <w:lvl w:ilvl="3" w:tentative="0">
      <w:start w:val="1"/>
      <w:numFmt w:val="decimal"/>
      <w:lvlText w:val="%4."/>
      <w:lvlJc w:val="left"/>
      <w:pPr>
        <w:ind w:left="1980" w:hanging="440"/>
      </w:pPr>
    </w:lvl>
    <w:lvl w:ilvl="4" w:tentative="0">
      <w:start w:val="1"/>
      <w:numFmt w:val="lowerLetter"/>
      <w:lvlText w:val="%5)"/>
      <w:lvlJc w:val="left"/>
      <w:pPr>
        <w:ind w:left="2420" w:hanging="440"/>
      </w:pPr>
    </w:lvl>
    <w:lvl w:ilvl="5" w:tentative="0">
      <w:start w:val="1"/>
      <w:numFmt w:val="lowerRoman"/>
      <w:lvlText w:val="%6."/>
      <w:lvlJc w:val="right"/>
      <w:pPr>
        <w:ind w:left="2860" w:hanging="440"/>
      </w:pPr>
    </w:lvl>
    <w:lvl w:ilvl="6" w:tentative="0">
      <w:start w:val="1"/>
      <w:numFmt w:val="decimal"/>
      <w:lvlText w:val="%7."/>
      <w:lvlJc w:val="left"/>
      <w:pPr>
        <w:ind w:left="3300" w:hanging="440"/>
      </w:pPr>
    </w:lvl>
    <w:lvl w:ilvl="7" w:tentative="0">
      <w:start w:val="1"/>
      <w:numFmt w:val="lowerLetter"/>
      <w:lvlText w:val="%8)"/>
      <w:lvlJc w:val="left"/>
      <w:pPr>
        <w:ind w:left="3740" w:hanging="440"/>
      </w:pPr>
    </w:lvl>
    <w:lvl w:ilvl="8" w:tentative="0">
      <w:start w:val="1"/>
      <w:numFmt w:val="lowerRoman"/>
      <w:lvlText w:val="%9."/>
      <w:lvlJc w:val="right"/>
      <w:pPr>
        <w:ind w:left="4180" w:hanging="440"/>
      </w:pPr>
    </w:lvl>
  </w:abstractNum>
  <w:abstractNum w:abstractNumId="1">
    <w:nsid w:val="03143947"/>
    <w:multiLevelType w:val="singleLevel"/>
    <w:tmpl w:val="03143947"/>
    <w:lvl w:ilvl="0" w:tentative="0">
      <w:start w:val="1"/>
      <w:numFmt w:val="decimal"/>
      <w:lvlText w:val="%1)"/>
      <w:lvlJc w:val="left"/>
      <w:pPr>
        <w:ind w:left="440" w:hanging="440"/>
      </w:pPr>
      <w:rPr>
        <w:rFonts w:asciiTheme="minorEastAsia" w:hAnsiTheme="minorEastAsia" w:eastAsiaTheme="minorEastAsia"/>
      </w:rPr>
    </w:lvl>
  </w:abstractNum>
  <w:abstractNum w:abstractNumId="2">
    <w:nsid w:val="07804080"/>
    <w:multiLevelType w:val="singleLevel"/>
    <w:tmpl w:val="07804080"/>
    <w:lvl w:ilvl="0" w:tentative="0">
      <w:start w:val="1"/>
      <w:numFmt w:val="decimal"/>
      <w:lvlText w:val="%1)"/>
      <w:lvlJc w:val="left"/>
      <w:pPr>
        <w:ind w:left="440" w:hanging="440"/>
      </w:pPr>
      <w:rPr>
        <w:rFonts w:asciiTheme="minorEastAsia" w:hAnsiTheme="minorEastAsia" w:eastAsiaTheme="minorEastAsia"/>
      </w:rPr>
    </w:lvl>
  </w:abstractNum>
  <w:abstractNum w:abstractNumId="3">
    <w:nsid w:val="091A5CDE"/>
    <w:multiLevelType w:val="singleLevel"/>
    <w:tmpl w:val="091A5CDE"/>
    <w:lvl w:ilvl="0" w:tentative="0">
      <w:start w:val="1"/>
      <w:numFmt w:val="decimal"/>
      <w:lvlText w:val="%1)"/>
      <w:lvlJc w:val="left"/>
      <w:pPr>
        <w:ind w:left="440" w:hanging="440"/>
      </w:pPr>
      <w:rPr>
        <w:rFonts w:asciiTheme="minorEastAsia" w:hAnsiTheme="minorEastAsia" w:eastAsiaTheme="minorEastAsia"/>
      </w:rPr>
    </w:lvl>
  </w:abstractNum>
  <w:abstractNum w:abstractNumId="4">
    <w:nsid w:val="157D054B"/>
    <w:multiLevelType w:val="multilevel"/>
    <w:tmpl w:val="157D054B"/>
    <w:lvl w:ilvl="0" w:tentative="0">
      <w:start w:val="1"/>
      <w:numFmt w:val="decimalEnclosedCircleChinese"/>
      <w:lvlText w:val="%1　"/>
      <w:lvlJc w:val="left"/>
      <w:pPr>
        <w:ind w:left="660" w:hanging="440"/>
      </w:pPr>
      <w:rPr>
        <w:rFonts w:hint="eastAsia"/>
      </w:rPr>
    </w:lvl>
    <w:lvl w:ilvl="1" w:tentative="0">
      <w:start w:val="1"/>
      <w:numFmt w:val="lowerLetter"/>
      <w:lvlText w:val="%2)"/>
      <w:lvlJc w:val="left"/>
      <w:pPr>
        <w:ind w:left="1100" w:hanging="440"/>
      </w:pPr>
    </w:lvl>
    <w:lvl w:ilvl="2" w:tentative="0">
      <w:start w:val="1"/>
      <w:numFmt w:val="lowerRoman"/>
      <w:lvlText w:val="%3."/>
      <w:lvlJc w:val="right"/>
      <w:pPr>
        <w:ind w:left="1540" w:hanging="440"/>
      </w:pPr>
    </w:lvl>
    <w:lvl w:ilvl="3" w:tentative="0">
      <w:start w:val="1"/>
      <w:numFmt w:val="decimal"/>
      <w:lvlText w:val="%4."/>
      <w:lvlJc w:val="left"/>
      <w:pPr>
        <w:ind w:left="1980" w:hanging="440"/>
      </w:pPr>
    </w:lvl>
    <w:lvl w:ilvl="4" w:tentative="0">
      <w:start w:val="1"/>
      <w:numFmt w:val="lowerLetter"/>
      <w:lvlText w:val="%5)"/>
      <w:lvlJc w:val="left"/>
      <w:pPr>
        <w:ind w:left="2420" w:hanging="440"/>
      </w:pPr>
    </w:lvl>
    <w:lvl w:ilvl="5" w:tentative="0">
      <w:start w:val="1"/>
      <w:numFmt w:val="lowerRoman"/>
      <w:lvlText w:val="%6."/>
      <w:lvlJc w:val="right"/>
      <w:pPr>
        <w:ind w:left="2860" w:hanging="440"/>
      </w:pPr>
    </w:lvl>
    <w:lvl w:ilvl="6" w:tentative="0">
      <w:start w:val="1"/>
      <w:numFmt w:val="decimal"/>
      <w:lvlText w:val="%7."/>
      <w:lvlJc w:val="left"/>
      <w:pPr>
        <w:ind w:left="3300" w:hanging="440"/>
      </w:pPr>
    </w:lvl>
    <w:lvl w:ilvl="7" w:tentative="0">
      <w:start w:val="1"/>
      <w:numFmt w:val="lowerLetter"/>
      <w:lvlText w:val="%8)"/>
      <w:lvlJc w:val="left"/>
      <w:pPr>
        <w:ind w:left="3740" w:hanging="440"/>
      </w:pPr>
    </w:lvl>
    <w:lvl w:ilvl="8" w:tentative="0">
      <w:start w:val="1"/>
      <w:numFmt w:val="lowerRoman"/>
      <w:lvlText w:val="%9."/>
      <w:lvlJc w:val="right"/>
      <w:pPr>
        <w:ind w:left="4180" w:hanging="440"/>
      </w:pPr>
    </w:lvl>
  </w:abstractNum>
  <w:abstractNum w:abstractNumId="5">
    <w:nsid w:val="1AFC7B35"/>
    <w:multiLevelType w:val="singleLevel"/>
    <w:tmpl w:val="1AFC7B35"/>
    <w:lvl w:ilvl="0" w:tentative="0">
      <w:start w:val="1"/>
      <w:numFmt w:val="decimal"/>
      <w:lvlText w:val="%1)"/>
      <w:lvlJc w:val="left"/>
      <w:pPr>
        <w:ind w:left="440" w:hanging="440"/>
      </w:pPr>
      <w:rPr>
        <w:rFonts w:asciiTheme="minorEastAsia" w:hAnsiTheme="minorEastAsia" w:eastAsiaTheme="minorEastAsia"/>
      </w:rPr>
    </w:lvl>
  </w:abstractNum>
  <w:abstractNum w:abstractNumId="6">
    <w:nsid w:val="25CE1294"/>
    <w:multiLevelType w:val="multilevel"/>
    <w:tmpl w:val="25CE1294"/>
    <w:lvl w:ilvl="0" w:tentative="0">
      <w:start w:val="1"/>
      <w:numFmt w:val="decimalEnclosedCircleChinese"/>
      <w:lvlText w:val="%1　"/>
      <w:lvlJc w:val="left"/>
      <w:pPr>
        <w:ind w:left="660" w:hanging="440"/>
      </w:pPr>
      <w:rPr>
        <w:rFonts w:hint="eastAsia"/>
      </w:rPr>
    </w:lvl>
    <w:lvl w:ilvl="1" w:tentative="0">
      <w:start w:val="1"/>
      <w:numFmt w:val="lowerLetter"/>
      <w:lvlText w:val="%2)"/>
      <w:lvlJc w:val="left"/>
      <w:pPr>
        <w:ind w:left="1100" w:hanging="440"/>
      </w:pPr>
    </w:lvl>
    <w:lvl w:ilvl="2" w:tentative="0">
      <w:start w:val="1"/>
      <w:numFmt w:val="lowerRoman"/>
      <w:lvlText w:val="%3."/>
      <w:lvlJc w:val="right"/>
      <w:pPr>
        <w:ind w:left="1540" w:hanging="440"/>
      </w:pPr>
    </w:lvl>
    <w:lvl w:ilvl="3" w:tentative="0">
      <w:start w:val="1"/>
      <w:numFmt w:val="decimal"/>
      <w:lvlText w:val="%4."/>
      <w:lvlJc w:val="left"/>
      <w:pPr>
        <w:ind w:left="1980" w:hanging="440"/>
      </w:pPr>
    </w:lvl>
    <w:lvl w:ilvl="4" w:tentative="0">
      <w:start w:val="1"/>
      <w:numFmt w:val="lowerLetter"/>
      <w:lvlText w:val="%5)"/>
      <w:lvlJc w:val="left"/>
      <w:pPr>
        <w:ind w:left="2420" w:hanging="440"/>
      </w:pPr>
    </w:lvl>
    <w:lvl w:ilvl="5" w:tentative="0">
      <w:start w:val="1"/>
      <w:numFmt w:val="lowerRoman"/>
      <w:lvlText w:val="%6."/>
      <w:lvlJc w:val="right"/>
      <w:pPr>
        <w:ind w:left="2860" w:hanging="440"/>
      </w:pPr>
    </w:lvl>
    <w:lvl w:ilvl="6" w:tentative="0">
      <w:start w:val="1"/>
      <w:numFmt w:val="decimal"/>
      <w:lvlText w:val="%7."/>
      <w:lvlJc w:val="left"/>
      <w:pPr>
        <w:ind w:left="3300" w:hanging="440"/>
      </w:pPr>
    </w:lvl>
    <w:lvl w:ilvl="7" w:tentative="0">
      <w:start w:val="1"/>
      <w:numFmt w:val="lowerLetter"/>
      <w:lvlText w:val="%8)"/>
      <w:lvlJc w:val="left"/>
      <w:pPr>
        <w:ind w:left="3740" w:hanging="440"/>
      </w:pPr>
    </w:lvl>
    <w:lvl w:ilvl="8" w:tentative="0">
      <w:start w:val="1"/>
      <w:numFmt w:val="lowerRoman"/>
      <w:lvlText w:val="%9."/>
      <w:lvlJc w:val="right"/>
      <w:pPr>
        <w:ind w:left="4180" w:hanging="440"/>
      </w:pPr>
    </w:lvl>
  </w:abstractNum>
  <w:abstractNum w:abstractNumId="7">
    <w:nsid w:val="323F6A63"/>
    <w:multiLevelType w:val="singleLevel"/>
    <w:tmpl w:val="323F6A63"/>
    <w:lvl w:ilvl="0" w:tentative="0">
      <w:start w:val="1"/>
      <w:numFmt w:val="decimal"/>
      <w:lvlText w:val="%1)"/>
      <w:lvlJc w:val="left"/>
      <w:pPr>
        <w:ind w:left="440" w:hanging="440"/>
      </w:pPr>
      <w:rPr>
        <w:rFonts w:asciiTheme="minorEastAsia" w:hAnsiTheme="minorEastAsia" w:eastAsiaTheme="minorEastAsia"/>
      </w:rPr>
    </w:lvl>
  </w:abstractNum>
  <w:abstractNum w:abstractNumId="8">
    <w:nsid w:val="359B4054"/>
    <w:multiLevelType w:val="multilevel"/>
    <w:tmpl w:val="359B4054"/>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A4A5691"/>
    <w:multiLevelType w:val="multilevel"/>
    <w:tmpl w:val="3A4A5691"/>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
    <w:nsid w:val="3BD17F3A"/>
    <w:multiLevelType w:val="singleLevel"/>
    <w:tmpl w:val="3BD17F3A"/>
    <w:lvl w:ilvl="0" w:tentative="0">
      <w:start w:val="1"/>
      <w:numFmt w:val="decimal"/>
      <w:lvlText w:val="%1)"/>
      <w:lvlJc w:val="left"/>
      <w:pPr>
        <w:ind w:left="440" w:hanging="440"/>
      </w:pPr>
      <w:rPr>
        <w:rFonts w:asciiTheme="minorEastAsia" w:hAnsiTheme="minorEastAsia" w:eastAsiaTheme="minorEastAsia"/>
      </w:rPr>
    </w:lvl>
  </w:abstractNum>
  <w:abstractNum w:abstractNumId="11">
    <w:nsid w:val="40D14B17"/>
    <w:multiLevelType w:val="singleLevel"/>
    <w:tmpl w:val="40D14B17"/>
    <w:lvl w:ilvl="0" w:tentative="0">
      <w:start w:val="1"/>
      <w:numFmt w:val="decimal"/>
      <w:lvlText w:val="%1)"/>
      <w:lvlJc w:val="left"/>
      <w:pPr>
        <w:ind w:left="440" w:hanging="440"/>
      </w:pPr>
      <w:rPr>
        <w:rFonts w:asciiTheme="minorEastAsia" w:hAnsiTheme="minorEastAsia" w:eastAsiaTheme="minorEastAsia"/>
      </w:rPr>
    </w:lvl>
  </w:abstractNum>
  <w:abstractNum w:abstractNumId="12">
    <w:nsid w:val="44B47A69"/>
    <w:multiLevelType w:val="multilevel"/>
    <w:tmpl w:val="44B47A69"/>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6666ECB"/>
    <w:multiLevelType w:val="multilevel"/>
    <w:tmpl w:val="46666ECB"/>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06037D2"/>
    <w:multiLevelType w:val="singleLevel"/>
    <w:tmpl w:val="506037D2"/>
    <w:lvl w:ilvl="0" w:tentative="0">
      <w:start w:val="1"/>
      <w:numFmt w:val="decimal"/>
      <w:lvlText w:val="%1)"/>
      <w:lvlJc w:val="left"/>
      <w:pPr>
        <w:ind w:left="440" w:hanging="440"/>
      </w:pPr>
      <w:rPr>
        <w:rFonts w:asciiTheme="minorEastAsia" w:hAnsiTheme="minorEastAsia" w:eastAsiaTheme="minorEastAsia"/>
      </w:rPr>
    </w:lvl>
  </w:abstractNum>
  <w:abstractNum w:abstractNumId="15">
    <w:nsid w:val="6B8A6C90"/>
    <w:multiLevelType w:val="multilevel"/>
    <w:tmpl w:val="6B8A6C90"/>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2A74F31"/>
    <w:multiLevelType w:val="singleLevel"/>
    <w:tmpl w:val="72A74F31"/>
    <w:lvl w:ilvl="0" w:tentative="0">
      <w:start w:val="1"/>
      <w:numFmt w:val="decimal"/>
      <w:lvlText w:val="%1)"/>
      <w:lvlJc w:val="left"/>
      <w:pPr>
        <w:ind w:left="440" w:hanging="440"/>
      </w:pPr>
      <w:rPr>
        <w:rFonts w:asciiTheme="minorEastAsia" w:hAnsiTheme="minorEastAsia" w:eastAsiaTheme="minorEastAsia"/>
      </w:rPr>
    </w:lvl>
  </w:abstractNum>
  <w:abstractNum w:abstractNumId="17">
    <w:nsid w:val="7BF77C5A"/>
    <w:multiLevelType w:val="multilevel"/>
    <w:tmpl w:val="7BF77C5A"/>
    <w:lvl w:ilvl="0" w:tentative="0">
      <w:start w:val="1"/>
      <w:numFmt w:val="decimal"/>
      <w:lvlText w:val="%1"/>
      <w:lvlJc w:val="left"/>
      <w:pPr>
        <w:ind w:left="360" w:hanging="360"/>
      </w:pPr>
      <w:rPr>
        <w:rFonts w:hint="default"/>
      </w:rPr>
    </w:lvl>
    <w:lvl w:ilvl="1" w:tentative="0">
      <w:start w:val="1"/>
      <w:numFmt w:val="decimal"/>
      <w:lvlText w:val="%1.%2"/>
      <w:lvlJc w:val="left"/>
      <w:pPr>
        <w:ind w:left="941" w:hanging="360"/>
      </w:pPr>
      <w:rPr>
        <w:rFonts w:hint="default" w:ascii="宋体" w:hAnsi="宋体" w:eastAsia="宋体"/>
      </w:rPr>
    </w:lvl>
    <w:lvl w:ilvl="2" w:tentative="0">
      <w:start w:val="1"/>
      <w:numFmt w:val="decimal"/>
      <w:lvlText w:val="%1.%2.%3"/>
      <w:lvlJc w:val="left"/>
      <w:pPr>
        <w:ind w:left="1882" w:hanging="720"/>
      </w:pPr>
      <w:rPr>
        <w:rFonts w:hint="default"/>
      </w:rPr>
    </w:lvl>
    <w:lvl w:ilvl="3" w:tentative="0">
      <w:start w:val="1"/>
      <w:numFmt w:val="decimal"/>
      <w:lvlText w:val="%1.%2.%3.%4"/>
      <w:lvlJc w:val="left"/>
      <w:pPr>
        <w:ind w:left="2463" w:hanging="720"/>
      </w:pPr>
      <w:rPr>
        <w:rFonts w:hint="default"/>
      </w:rPr>
    </w:lvl>
    <w:lvl w:ilvl="4" w:tentative="0">
      <w:start w:val="1"/>
      <w:numFmt w:val="decimal"/>
      <w:lvlText w:val="%1.%2.%3.%4.%5"/>
      <w:lvlJc w:val="left"/>
      <w:pPr>
        <w:ind w:left="3404" w:hanging="1080"/>
      </w:pPr>
      <w:rPr>
        <w:rFonts w:hint="default"/>
      </w:rPr>
    </w:lvl>
    <w:lvl w:ilvl="5" w:tentative="0">
      <w:start w:val="1"/>
      <w:numFmt w:val="decimal"/>
      <w:lvlText w:val="%1.%2.%3.%4.%5.%6"/>
      <w:lvlJc w:val="left"/>
      <w:pPr>
        <w:ind w:left="3985" w:hanging="1080"/>
      </w:pPr>
      <w:rPr>
        <w:rFonts w:hint="default"/>
      </w:rPr>
    </w:lvl>
    <w:lvl w:ilvl="6" w:tentative="0">
      <w:start w:val="1"/>
      <w:numFmt w:val="decimal"/>
      <w:lvlText w:val="%1.%2.%3.%4.%5.%6.%7"/>
      <w:lvlJc w:val="left"/>
      <w:pPr>
        <w:ind w:left="4926" w:hanging="1440"/>
      </w:pPr>
      <w:rPr>
        <w:rFonts w:hint="default"/>
      </w:rPr>
    </w:lvl>
    <w:lvl w:ilvl="7" w:tentative="0">
      <w:start w:val="1"/>
      <w:numFmt w:val="decimal"/>
      <w:lvlText w:val="%1.%2.%3.%4.%5.%6.%7.%8"/>
      <w:lvlJc w:val="left"/>
      <w:pPr>
        <w:ind w:left="5507" w:hanging="1440"/>
      </w:pPr>
      <w:rPr>
        <w:rFonts w:hint="default"/>
      </w:rPr>
    </w:lvl>
    <w:lvl w:ilvl="8" w:tentative="0">
      <w:start w:val="1"/>
      <w:numFmt w:val="decimal"/>
      <w:lvlText w:val="%1.%2.%3.%4.%5.%6.%7.%8.%9"/>
      <w:lvlJc w:val="left"/>
      <w:pPr>
        <w:ind w:left="6088" w:hanging="1440"/>
      </w:pPr>
      <w:rPr>
        <w:rFonts w:hint="default"/>
      </w:rPr>
    </w:lvl>
  </w:abstractNum>
  <w:abstractNum w:abstractNumId="18">
    <w:nsid w:val="7E2C2D51"/>
    <w:multiLevelType w:val="multilevel"/>
    <w:tmpl w:val="7E2C2D51"/>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13"/>
  </w:num>
  <w:num w:numId="2">
    <w:abstractNumId w:val="8"/>
  </w:num>
  <w:num w:numId="3">
    <w:abstractNumId w:val="2"/>
  </w:num>
  <w:num w:numId="4">
    <w:abstractNumId w:val="12"/>
  </w:num>
  <w:num w:numId="5">
    <w:abstractNumId w:val="5"/>
  </w:num>
  <w:num w:numId="6">
    <w:abstractNumId w:val="7"/>
  </w:num>
  <w:num w:numId="7">
    <w:abstractNumId w:val="15"/>
  </w:num>
  <w:num w:numId="8">
    <w:abstractNumId w:val="11"/>
  </w:num>
  <w:num w:numId="9">
    <w:abstractNumId w:val="6"/>
  </w:num>
  <w:num w:numId="10">
    <w:abstractNumId w:val="3"/>
  </w:num>
  <w:num w:numId="11">
    <w:abstractNumId w:val="18"/>
  </w:num>
  <w:num w:numId="12">
    <w:abstractNumId w:val="17"/>
  </w:num>
  <w:num w:numId="13">
    <w:abstractNumId w:val="16"/>
  </w:num>
  <w:num w:numId="14">
    <w:abstractNumId w:val="14"/>
  </w:num>
  <w:num w:numId="15">
    <w:abstractNumId w:val="4"/>
  </w:num>
  <w:num w:numId="16">
    <w:abstractNumId w:val="0"/>
  </w:num>
  <w:num w:numId="17">
    <w:abstractNumId w:val="10"/>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JpK7MxFcLHSmGgKszYo2XNSxbxo=" w:salt="6mrfqou/5Aa7r/1o2RbYuQ=="/>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 w:name="KSO_WPS_MARK_KEY" w:val="f744a950-0353-4b01-8510-cab0bda33aa0"/>
  </w:docVars>
  <w:rsids>
    <w:rsidRoot w:val="00172A27"/>
    <w:rsid w:val="00013A87"/>
    <w:rsid w:val="00036B15"/>
    <w:rsid w:val="000400C6"/>
    <w:rsid w:val="00052F8F"/>
    <w:rsid w:val="000614E1"/>
    <w:rsid w:val="0007204E"/>
    <w:rsid w:val="000803D3"/>
    <w:rsid w:val="00090EBC"/>
    <w:rsid w:val="000B1358"/>
    <w:rsid w:val="000C6BB8"/>
    <w:rsid w:val="00131404"/>
    <w:rsid w:val="00131C9E"/>
    <w:rsid w:val="00145117"/>
    <w:rsid w:val="001535E4"/>
    <w:rsid w:val="00156F46"/>
    <w:rsid w:val="00172A27"/>
    <w:rsid w:val="00172DF0"/>
    <w:rsid w:val="001750E1"/>
    <w:rsid w:val="0017677A"/>
    <w:rsid w:val="00192981"/>
    <w:rsid w:val="00193D8D"/>
    <w:rsid w:val="001972F4"/>
    <w:rsid w:val="001A42BE"/>
    <w:rsid w:val="001A4AB8"/>
    <w:rsid w:val="001A73CE"/>
    <w:rsid w:val="001D7A92"/>
    <w:rsid w:val="001F2480"/>
    <w:rsid w:val="00203CDE"/>
    <w:rsid w:val="00222560"/>
    <w:rsid w:val="00222B08"/>
    <w:rsid w:val="00225A3D"/>
    <w:rsid w:val="00243146"/>
    <w:rsid w:val="00255E88"/>
    <w:rsid w:val="00276ED4"/>
    <w:rsid w:val="00281271"/>
    <w:rsid w:val="002A09E6"/>
    <w:rsid w:val="002A1CC3"/>
    <w:rsid w:val="002D3A1F"/>
    <w:rsid w:val="002E447E"/>
    <w:rsid w:val="002F4620"/>
    <w:rsid w:val="002F6DF0"/>
    <w:rsid w:val="002F7B66"/>
    <w:rsid w:val="00303E41"/>
    <w:rsid w:val="00304694"/>
    <w:rsid w:val="00305E1E"/>
    <w:rsid w:val="00310B40"/>
    <w:rsid w:val="003335C9"/>
    <w:rsid w:val="00333B0A"/>
    <w:rsid w:val="0033559B"/>
    <w:rsid w:val="00341533"/>
    <w:rsid w:val="003570BD"/>
    <w:rsid w:val="003629AC"/>
    <w:rsid w:val="00365489"/>
    <w:rsid w:val="0037001D"/>
    <w:rsid w:val="003731CA"/>
    <w:rsid w:val="00386765"/>
    <w:rsid w:val="00386B68"/>
    <w:rsid w:val="00393F9A"/>
    <w:rsid w:val="003A618C"/>
    <w:rsid w:val="003B611C"/>
    <w:rsid w:val="003B7D5A"/>
    <w:rsid w:val="003C2C60"/>
    <w:rsid w:val="003C6698"/>
    <w:rsid w:val="00403D52"/>
    <w:rsid w:val="00410471"/>
    <w:rsid w:val="00415375"/>
    <w:rsid w:val="00421FAF"/>
    <w:rsid w:val="0044408D"/>
    <w:rsid w:val="004811C2"/>
    <w:rsid w:val="00487730"/>
    <w:rsid w:val="00497067"/>
    <w:rsid w:val="004B3A2C"/>
    <w:rsid w:val="004C36D1"/>
    <w:rsid w:val="004D07E3"/>
    <w:rsid w:val="004F0170"/>
    <w:rsid w:val="00521567"/>
    <w:rsid w:val="00530D68"/>
    <w:rsid w:val="00531D32"/>
    <w:rsid w:val="0054092C"/>
    <w:rsid w:val="00541838"/>
    <w:rsid w:val="0055687A"/>
    <w:rsid w:val="0056301D"/>
    <w:rsid w:val="0057454B"/>
    <w:rsid w:val="00577D91"/>
    <w:rsid w:val="00594FF5"/>
    <w:rsid w:val="005B03E9"/>
    <w:rsid w:val="005C29D0"/>
    <w:rsid w:val="005C4CDB"/>
    <w:rsid w:val="005C7CF2"/>
    <w:rsid w:val="005F5576"/>
    <w:rsid w:val="005F6EB6"/>
    <w:rsid w:val="00601906"/>
    <w:rsid w:val="006318D8"/>
    <w:rsid w:val="006327F8"/>
    <w:rsid w:val="006461F1"/>
    <w:rsid w:val="00662AF5"/>
    <w:rsid w:val="00672A20"/>
    <w:rsid w:val="006839FD"/>
    <w:rsid w:val="0069386D"/>
    <w:rsid w:val="006A15E2"/>
    <w:rsid w:val="006E01E2"/>
    <w:rsid w:val="007016A9"/>
    <w:rsid w:val="007132E2"/>
    <w:rsid w:val="007225F0"/>
    <w:rsid w:val="00723842"/>
    <w:rsid w:val="00724B81"/>
    <w:rsid w:val="00726682"/>
    <w:rsid w:val="0073101A"/>
    <w:rsid w:val="007348E7"/>
    <w:rsid w:val="00755ED1"/>
    <w:rsid w:val="007628D5"/>
    <w:rsid w:val="007729D9"/>
    <w:rsid w:val="00784B41"/>
    <w:rsid w:val="007A61A4"/>
    <w:rsid w:val="007A76B1"/>
    <w:rsid w:val="007B2456"/>
    <w:rsid w:val="007D601A"/>
    <w:rsid w:val="007F2517"/>
    <w:rsid w:val="00813112"/>
    <w:rsid w:val="00813BFE"/>
    <w:rsid w:val="0081481C"/>
    <w:rsid w:val="00823EA4"/>
    <w:rsid w:val="008505AF"/>
    <w:rsid w:val="00852EB1"/>
    <w:rsid w:val="00864252"/>
    <w:rsid w:val="008727E0"/>
    <w:rsid w:val="00872907"/>
    <w:rsid w:val="00875C58"/>
    <w:rsid w:val="008879EE"/>
    <w:rsid w:val="008A43C9"/>
    <w:rsid w:val="008B3EED"/>
    <w:rsid w:val="008B4040"/>
    <w:rsid w:val="008B535D"/>
    <w:rsid w:val="008C41B0"/>
    <w:rsid w:val="008D2F3B"/>
    <w:rsid w:val="008F6C14"/>
    <w:rsid w:val="008F74F3"/>
    <w:rsid w:val="009012E0"/>
    <w:rsid w:val="00916E1F"/>
    <w:rsid w:val="00926459"/>
    <w:rsid w:val="0093667D"/>
    <w:rsid w:val="00960862"/>
    <w:rsid w:val="00961C64"/>
    <w:rsid w:val="0096617E"/>
    <w:rsid w:val="00972707"/>
    <w:rsid w:val="00976914"/>
    <w:rsid w:val="009778D9"/>
    <w:rsid w:val="0098775F"/>
    <w:rsid w:val="009966E9"/>
    <w:rsid w:val="009A13B6"/>
    <w:rsid w:val="009A21E4"/>
    <w:rsid w:val="009D1186"/>
    <w:rsid w:val="009E2BA5"/>
    <w:rsid w:val="009F1259"/>
    <w:rsid w:val="009F2224"/>
    <w:rsid w:val="00A07FD7"/>
    <w:rsid w:val="00A146BF"/>
    <w:rsid w:val="00A162C3"/>
    <w:rsid w:val="00A21432"/>
    <w:rsid w:val="00A269B7"/>
    <w:rsid w:val="00A337D7"/>
    <w:rsid w:val="00A536BA"/>
    <w:rsid w:val="00A648E4"/>
    <w:rsid w:val="00A7347A"/>
    <w:rsid w:val="00A748FD"/>
    <w:rsid w:val="00A7602A"/>
    <w:rsid w:val="00A80C37"/>
    <w:rsid w:val="00A90EB9"/>
    <w:rsid w:val="00A9308F"/>
    <w:rsid w:val="00AA6D86"/>
    <w:rsid w:val="00AE06B5"/>
    <w:rsid w:val="00AE283A"/>
    <w:rsid w:val="00AE2888"/>
    <w:rsid w:val="00AF3F5F"/>
    <w:rsid w:val="00B13CD7"/>
    <w:rsid w:val="00B30E3B"/>
    <w:rsid w:val="00B331FE"/>
    <w:rsid w:val="00B332C7"/>
    <w:rsid w:val="00B37509"/>
    <w:rsid w:val="00B37657"/>
    <w:rsid w:val="00B37DB4"/>
    <w:rsid w:val="00B41684"/>
    <w:rsid w:val="00B66F53"/>
    <w:rsid w:val="00B915D4"/>
    <w:rsid w:val="00B92E2E"/>
    <w:rsid w:val="00BB1FFD"/>
    <w:rsid w:val="00BB4678"/>
    <w:rsid w:val="00BB69C2"/>
    <w:rsid w:val="00BC1E3A"/>
    <w:rsid w:val="00BD0C71"/>
    <w:rsid w:val="00BE1CAD"/>
    <w:rsid w:val="00BE4364"/>
    <w:rsid w:val="00BF499C"/>
    <w:rsid w:val="00BF613E"/>
    <w:rsid w:val="00C26D79"/>
    <w:rsid w:val="00C32C60"/>
    <w:rsid w:val="00C54C00"/>
    <w:rsid w:val="00C56F78"/>
    <w:rsid w:val="00C6429A"/>
    <w:rsid w:val="00C654F9"/>
    <w:rsid w:val="00C67BB5"/>
    <w:rsid w:val="00C74DE4"/>
    <w:rsid w:val="00C9797D"/>
    <w:rsid w:val="00CB6EF4"/>
    <w:rsid w:val="00CC0742"/>
    <w:rsid w:val="00CC207F"/>
    <w:rsid w:val="00CC531C"/>
    <w:rsid w:val="00CD1DCA"/>
    <w:rsid w:val="00CD5A7B"/>
    <w:rsid w:val="00CF4BD5"/>
    <w:rsid w:val="00D100FB"/>
    <w:rsid w:val="00D13196"/>
    <w:rsid w:val="00D13D66"/>
    <w:rsid w:val="00D21EAE"/>
    <w:rsid w:val="00D23F3A"/>
    <w:rsid w:val="00D4007D"/>
    <w:rsid w:val="00D43543"/>
    <w:rsid w:val="00D71A5E"/>
    <w:rsid w:val="00D7455B"/>
    <w:rsid w:val="00D82A0E"/>
    <w:rsid w:val="00D9540A"/>
    <w:rsid w:val="00DA30C5"/>
    <w:rsid w:val="00DA376C"/>
    <w:rsid w:val="00DB18A2"/>
    <w:rsid w:val="00DB1DCA"/>
    <w:rsid w:val="00E058E8"/>
    <w:rsid w:val="00E07E64"/>
    <w:rsid w:val="00E10595"/>
    <w:rsid w:val="00E13B53"/>
    <w:rsid w:val="00E140B2"/>
    <w:rsid w:val="00E15F08"/>
    <w:rsid w:val="00E36677"/>
    <w:rsid w:val="00E627A7"/>
    <w:rsid w:val="00E63D0F"/>
    <w:rsid w:val="00E74648"/>
    <w:rsid w:val="00E75808"/>
    <w:rsid w:val="00E958AC"/>
    <w:rsid w:val="00EA2262"/>
    <w:rsid w:val="00EC2B1C"/>
    <w:rsid w:val="00ED4397"/>
    <w:rsid w:val="00ED77AE"/>
    <w:rsid w:val="00EE248D"/>
    <w:rsid w:val="00F150AB"/>
    <w:rsid w:val="00F42EC1"/>
    <w:rsid w:val="00F6012D"/>
    <w:rsid w:val="00F60C3D"/>
    <w:rsid w:val="00F64209"/>
    <w:rsid w:val="00F705A0"/>
    <w:rsid w:val="00F8027C"/>
    <w:rsid w:val="00F8653E"/>
    <w:rsid w:val="00FB5C42"/>
    <w:rsid w:val="00FB71CA"/>
    <w:rsid w:val="00FC5588"/>
    <w:rsid w:val="00FD6E63"/>
    <w:rsid w:val="00FE08EE"/>
    <w:rsid w:val="00FF59BF"/>
    <w:rsid w:val="02251150"/>
    <w:rsid w:val="063302DF"/>
    <w:rsid w:val="07181283"/>
    <w:rsid w:val="09061CDB"/>
    <w:rsid w:val="09A04875"/>
    <w:rsid w:val="0A0E6BA7"/>
    <w:rsid w:val="0B3A235D"/>
    <w:rsid w:val="0D136775"/>
    <w:rsid w:val="0D907DC5"/>
    <w:rsid w:val="0DE14DD8"/>
    <w:rsid w:val="107A6B0B"/>
    <w:rsid w:val="11851C0B"/>
    <w:rsid w:val="13752268"/>
    <w:rsid w:val="156D4E7E"/>
    <w:rsid w:val="15CF22CA"/>
    <w:rsid w:val="17DC1DDD"/>
    <w:rsid w:val="1863537D"/>
    <w:rsid w:val="187D53EA"/>
    <w:rsid w:val="1AD5775F"/>
    <w:rsid w:val="1B947E12"/>
    <w:rsid w:val="1D835251"/>
    <w:rsid w:val="1F0A4FA5"/>
    <w:rsid w:val="1F3031B6"/>
    <w:rsid w:val="2341122C"/>
    <w:rsid w:val="23A71F20"/>
    <w:rsid w:val="29EB56E3"/>
    <w:rsid w:val="2EC15BD9"/>
    <w:rsid w:val="30766E97"/>
    <w:rsid w:val="32337EFE"/>
    <w:rsid w:val="34FA3BF3"/>
    <w:rsid w:val="35D975BA"/>
    <w:rsid w:val="35FE2DA3"/>
    <w:rsid w:val="360016DD"/>
    <w:rsid w:val="38F71E00"/>
    <w:rsid w:val="39C34753"/>
    <w:rsid w:val="3AEF3ACE"/>
    <w:rsid w:val="3C8D17F0"/>
    <w:rsid w:val="3CF74EBC"/>
    <w:rsid w:val="3D403010"/>
    <w:rsid w:val="418F08C4"/>
    <w:rsid w:val="41FD4D22"/>
    <w:rsid w:val="432E496C"/>
    <w:rsid w:val="47377128"/>
    <w:rsid w:val="47F6497A"/>
    <w:rsid w:val="4BCE14DD"/>
    <w:rsid w:val="4BE40EB0"/>
    <w:rsid w:val="4C075FF8"/>
    <w:rsid w:val="4F101893"/>
    <w:rsid w:val="5142137A"/>
    <w:rsid w:val="54295BDC"/>
    <w:rsid w:val="56BF4142"/>
    <w:rsid w:val="56BF65F2"/>
    <w:rsid w:val="571B4AF5"/>
    <w:rsid w:val="58920F7F"/>
    <w:rsid w:val="59450B16"/>
    <w:rsid w:val="596F60AE"/>
    <w:rsid w:val="5A513805"/>
    <w:rsid w:val="5C5D2B35"/>
    <w:rsid w:val="5E161B4B"/>
    <w:rsid w:val="60433DF0"/>
    <w:rsid w:val="620F4693"/>
    <w:rsid w:val="64FA4BEA"/>
    <w:rsid w:val="650C2337"/>
    <w:rsid w:val="66E060D6"/>
    <w:rsid w:val="68096575"/>
    <w:rsid w:val="6965127B"/>
    <w:rsid w:val="6C4F1380"/>
    <w:rsid w:val="6F942091"/>
    <w:rsid w:val="71382E87"/>
    <w:rsid w:val="74902A35"/>
    <w:rsid w:val="755A3E43"/>
    <w:rsid w:val="7AA65250"/>
    <w:rsid w:val="7BE424D4"/>
    <w:rsid w:val="7E115FD2"/>
    <w:rsid w:val="7EF40C80"/>
    <w:rsid w:val="7F45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lang w:val="zh-CN"/>
    </w:rPr>
  </w:style>
  <w:style w:type="paragraph" w:styleId="3">
    <w:name w:val="footer"/>
    <w:basedOn w:val="1"/>
    <w:link w:val="15"/>
    <w:autoRedefine/>
    <w:qFormat/>
    <w:uiPriority w:val="99"/>
    <w:pPr>
      <w:tabs>
        <w:tab w:val="center" w:pos="4153"/>
        <w:tab w:val="right" w:pos="8306"/>
      </w:tabs>
      <w:snapToGrid w:val="0"/>
      <w:jc w:val="left"/>
    </w:pPr>
    <w:rPr>
      <w:sz w:val="18"/>
      <w:szCs w:val="18"/>
    </w:rPr>
  </w:style>
  <w:style w:type="paragraph" w:styleId="4">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styleId="8">
    <w:name w:val="Hyperlink"/>
    <w:basedOn w:val="6"/>
    <w:autoRedefine/>
    <w:qFormat/>
    <w:uiPriority w:val="0"/>
    <w:rPr>
      <w:color w:val="0000FF"/>
      <w:u w:val="single"/>
    </w:rPr>
  </w:style>
  <w:style w:type="character" w:customStyle="1" w:styleId="9">
    <w:name w:val="批注框文本 字符"/>
    <w:link w:val="2"/>
    <w:autoRedefine/>
    <w:qFormat/>
    <w:uiPriority w:val="0"/>
    <w:rPr>
      <w:kern w:val="2"/>
      <w:sz w:val="18"/>
      <w:szCs w:val="18"/>
    </w:rPr>
  </w:style>
  <w:style w:type="character" w:styleId="10">
    <w:name w:val="Placeholder Text"/>
    <w:basedOn w:val="6"/>
    <w:autoRedefine/>
    <w:unhideWhenUsed/>
    <w:qFormat/>
    <w:uiPriority w:val="99"/>
    <w:rPr>
      <w:color w:val="808080"/>
    </w:rPr>
  </w:style>
  <w:style w:type="paragraph" w:styleId="11">
    <w:name w:val="List Paragraph"/>
    <w:basedOn w:val="1"/>
    <w:autoRedefine/>
    <w:qFormat/>
    <w:uiPriority w:val="99"/>
    <w:pPr>
      <w:ind w:firstLine="420" w:firstLineChars="200"/>
    </w:pPr>
  </w:style>
  <w:style w:type="paragraph" w:customStyle="1" w:styleId="1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3">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4">
    <w:name w:val="页眉 字符"/>
    <w:basedOn w:val="6"/>
    <w:link w:val="4"/>
    <w:autoRedefine/>
    <w:qFormat/>
    <w:uiPriority w:val="99"/>
    <w:rPr>
      <w:kern w:val="2"/>
      <w:sz w:val="18"/>
      <w:szCs w:val="18"/>
    </w:rPr>
  </w:style>
  <w:style w:type="character" w:customStyle="1" w:styleId="15">
    <w:name w:val="页脚 字符"/>
    <w:basedOn w:val="6"/>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9"/>
        <w:style w:val=""/>
        <w:category>
          <w:name w:val="常规"/>
          <w:gallery w:val="placeholder"/>
        </w:category>
        <w:types>
          <w:type w:val="bbPlcHdr"/>
        </w:types>
        <w:behaviors>
          <w:behavior w:val="content"/>
        </w:behaviors>
        <w:description w:val=""/>
        <w:guid w:val="{56AB9E95-9E6C-4FF2-BA7F-69BDBDE619B5}"/>
      </w:docPartPr>
      <w:docPartBody>
        <w:p w14:paraId="4A876119">
          <w:pPr>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49"/>
    <w:rsid w:val="00084BD8"/>
    <w:rsid w:val="00101FA3"/>
    <w:rsid w:val="00152ADF"/>
    <w:rsid w:val="00283F6B"/>
    <w:rsid w:val="00292906"/>
    <w:rsid w:val="002E4DFD"/>
    <w:rsid w:val="00312CDD"/>
    <w:rsid w:val="00333B0A"/>
    <w:rsid w:val="0035103E"/>
    <w:rsid w:val="003754F7"/>
    <w:rsid w:val="00382B49"/>
    <w:rsid w:val="003B78CB"/>
    <w:rsid w:val="003B7D5A"/>
    <w:rsid w:val="003D5190"/>
    <w:rsid w:val="00430811"/>
    <w:rsid w:val="00460A6D"/>
    <w:rsid w:val="004B3A2C"/>
    <w:rsid w:val="00557BCF"/>
    <w:rsid w:val="006047C5"/>
    <w:rsid w:val="00672A20"/>
    <w:rsid w:val="00677484"/>
    <w:rsid w:val="006A13BC"/>
    <w:rsid w:val="006C6274"/>
    <w:rsid w:val="00736C89"/>
    <w:rsid w:val="00755ED5"/>
    <w:rsid w:val="00760B87"/>
    <w:rsid w:val="00787094"/>
    <w:rsid w:val="007A4718"/>
    <w:rsid w:val="007B3DA9"/>
    <w:rsid w:val="0081403C"/>
    <w:rsid w:val="00836096"/>
    <w:rsid w:val="008565DD"/>
    <w:rsid w:val="008710E0"/>
    <w:rsid w:val="008D3A1E"/>
    <w:rsid w:val="009E7B19"/>
    <w:rsid w:val="00A1650A"/>
    <w:rsid w:val="00A16B44"/>
    <w:rsid w:val="00A37D86"/>
    <w:rsid w:val="00A63A80"/>
    <w:rsid w:val="00A875D1"/>
    <w:rsid w:val="00AD1C86"/>
    <w:rsid w:val="00AD5EC4"/>
    <w:rsid w:val="00B839E2"/>
    <w:rsid w:val="00BE148C"/>
    <w:rsid w:val="00BF6A5E"/>
    <w:rsid w:val="00C2286E"/>
    <w:rsid w:val="00C61DC4"/>
    <w:rsid w:val="00C6671C"/>
    <w:rsid w:val="00C91E57"/>
    <w:rsid w:val="00CA752E"/>
    <w:rsid w:val="00CC0742"/>
    <w:rsid w:val="00CF0DDE"/>
    <w:rsid w:val="00D74AF5"/>
    <w:rsid w:val="00D90D7B"/>
    <w:rsid w:val="00DF1DCA"/>
    <w:rsid w:val="00E005EF"/>
    <w:rsid w:val="00E512D4"/>
    <w:rsid w:val="00E572A2"/>
    <w:rsid w:val="00ED2F7F"/>
    <w:rsid w:val="00EF161F"/>
    <w:rsid w:val="00F1383E"/>
    <w:rsid w:val="00F31418"/>
    <w:rsid w:val="00F63B75"/>
    <w:rsid w:val="00F934E5"/>
    <w:rsid w:val="00FA2B8B"/>
    <w:rsid w:val="00FA5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3118-4F9B-4B0B-AED0-3DD60F315F94}">
  <ds:schemaRefs/>
</ds:datastoreItem>
</file>

<file path=docProps/app.xml><?xml version="1.0" encoding="utf-8"?>
<Properties xmlns="http://schemas.openxmlformats.org/officeDocument/2006/extended-properties" xmlns:vt="http://schemas.openxmlformats.org/officeDocument/2006/docPropsVTypes">
  <Template>Normal</Template>
  <Company>bcc</Company>
  <Pages>10</Pages>
  <Words>362</Words>
  <Characters>449</Characters>
  <Lines>16</Lines>
  <Paragraphs>18</Paragraphs>
  <TotalTime>0</TotalTime>
  <ScaleCrop>false</ScaleCrop>
  <LinksUpToDate>false</LinksUpToDate>
  <CharactersWithSpaces>895</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2024-12-23T06:46:00Z</dcterms:created>
  <dc:creator>zhcy</dc:creator>
  <cp:lastModifiedBy>「Amnesia」</cp:lastModifiedBy>
  <cp:lastPrinted>2021-06-11T08:45:00Z</cp:lastPrinted>
  <dcterms:modified xsi:type="dcterms:W3CDTF">2026-01-04T05:41:05Z</dcterms:modified>
  <dc:title>合同登记编号：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A0EA399884384ED8B56C21BED9AC97C7_13</vt:lpwstr>
  </property>
  <property fmtid="{D5CDD505-2E9C-101B-9397-08002B2CF9AE}" pid="4" name="KSOTemplateDocerSaveRecord">
    <vt:lpwstr>eyJoZGlkIjoiMjRhM2RlMTc1NmYyNDJiNWE5Njg4NTk4YTMzZTkxNmEiLCJ1c2VySWQiOiIzMzYxMjI1MTEifQ==</vt:lpwstr>
  </property>
</Properties>
</file>