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1C17A">
      <w:pPr>
        <w:spacing w:line="276" w:lineRule="auto"/>
        <w:rPr>
          <w:rFonts w:hint="eastAsia" w:ascii="宋体" w:hAnsi="宋体"/>
          <w:b/>
          <w:sz w:val="28"/>
          <w:szCs w:val="28"/>
          <w:highlight w:val="none"/>
        </w:rPr>
      </w:pPr>
      <w:permStart w:id="0" w:edGrp="everyone"/>
      <w:permEnd w:id="0"/>
      <w:bookmarkStart w:id="2" w:name="_GoBack"/>
      <w:bookmarkEnd w:id="2"/>
      <w:r>
        <w:rPr>
          <w:rFonts w:hint="eastAsia" w:ascii="宋体" w:hAnsi="宋体"/>
          <w:b/>
          <w:sz w:val="28"/>
          <w:szCs w:val="28"/>
          <w:highlight w:val="none"/>
        </w:rPr>
        <w:t>合同登记编号：</w:t>
      </w:r>
      <w:permStart w:id="1" w:edGrp="everyone"/>
      <w:r>
        <w:rPr>
          <w:rFonts w:hint="eastAsia" w:ascii="宋体" w:hAnsi="宋体"/>
          <w:b/>
          <w:sz w:val="28"/>
          <w:szCs w:val="28"/>
          <w:highlight w:val="none"/>
        </w:rPr>
        <w:t xml:space="preserve">       </w:t>
      </w:r>
    </w:p>
    <w:permEnd w:id="1"/>
    <w:p w14:paraId="45083711">
      <w:pPr>
        <w:spacing w:line="276" w:lineRule="auto"/>
        <w:rPr>
          <w:rFonts w:hint="eastAsia" w:ascii="宋体" w:hAnsi="宋体"/>
          <w:sz w:val="24"/>
          <w:highlight w:val="none"/>
        </w:rPr>
      </w:pPr>
    </w:p>
    <w:p w14:paraId="67356788">
      <w:pPr>
        <w:spacing w:line="276" w:lineRule="auto"/>
        <w:rPr>
          <w:rFonts w:hint="eastAsia" w:ascii="宋体" w:hAnsi="宋体"/>
          <w:sz w:val="24"/>
          <w:highlight w:val="none"/>
        </w:rPr>
      </w:pPr>
    </w:p>
    <w:p w14:paraId="06D1BCE1">
      <w:pPr>
        <w:spacing w:line="276" w:lineRule="auto"/>
        <w:rPr>
          <w:rFonts w:hint="eastAsia" w:ascii="宋体" w:hAnsi="宋体"/>
          <w:sz w:val="24"/>
          <w:highlight w:val="none"/>
        </w:rPr>
      </w:pPr>
    </w:p>
    <w:p w14:paraId="3747A981">
      <w:pPr>
        <w:spacing w:line="276" w:lineRule="auto"/>
        <w:rPr>
          <w:rFonts w:hint="eastAsia" w:ascii="宋体" w:hAnsi="宋体"/>
          <w:sz w:val="24"/>
          <w:highlight w:val="none"/>
        </w:rPr>
      </w:pPr>
    </w:p>
    <w:p w14:paraId="533E8251">
      <w:pPr>
        <w:spacing w:line="276" w:lineRule="auto"/>
        <w:jc w:val="center"/>
        <w:rPr>
          <w:rFonts w:hint="eastAsia" w:ascii="黑体" w:hAnsi="黑体" w:eastAsia="黑体"/>
          <w:b/>
          <w:bCs/>
          <w:sz w:val="52"/>
          <w:szCs w:val="52"/>
          <w:highlight w:val="none"/>
        </w:rPr>
      </w:pPr>
      <w:r>
        <w:rPr>
          <w:rFonts w:hint="eastAsia" w:ascii="黑体" w:hAnsi="黑体" w:eastAsia="黑体"/>
          <w:b/>
          <w:bCs/>
          <w:sz w:val="52"/>
          <w:szCs w:val="52"/>
          <w:highlight w:val="none"/>
        </w:rPr>
        <w:t>管理体系认证合同</w:t>
      </w:r>
    </w:p>
    <w:p w14:paraId="09FE0F14">
      <w:pPr>
        <w:spacing w:line="276" w:lineRule="auto"/>
        <w:rPr>
          <w:rFonts w:hint="eastAsia" w:ascii="宋体" w:hAnsi="宋体"/>
          <w:sz w:val="24"/>
          <w:highlight w:val="none"/>
        </w:rPr>
      </w:pPr>
    </w:p>
    <w:p w14:paraId="7295230B">
      <w:pPr>
        <w:spacing w:line="276" w:lineRule="auto"/>
        <w:rPr>
          <w:rFonts w:hint="eastAsia" w:ascii="宋体" w:hAnsi="宋体"/>
          <w:sz w:val="24"/>
          <w:highlight w:val="none"/>
        </w:rPr>
      </w:pPr>
    </w:p>
    <w:p w14:paraId="5E6E4059">
      <w:pPr>
        <w:spacing w:line="276" w:lineRule="auto"/>
        <w:rPr>
          <w:rFonts w:hint="eastAsia" w:ascii="宋体" w:hAnsi="宋体"/>
          <w:b/>
          <w:sz w:val="30"/>
          <w:szCs w:val="30"/>
          <w:highlight w:val="none"/>
        </w:rPr>
      </w:pPr>
      <w:r>
        <w:rPr>
          <w:rFonts w:hint="eastAsia" w:ascii="宋体" w:hAnsi="宋体"/>
          <w:b/>
          <w:sz w:val="30"/>
          <w:szCs w:val="30"/>
          <w:highlight w:val="none"/>
        </w:rPr>
        <w:t xml:space="preserve">认证项目名称      </w:t>
      </w:r>
      <w:permStart w:id="2" w:edGrp="everyone"/>
      <w:r>
        <w:rPr>
          <w:rFonts w:hint="eastAsia" w:ascii="宋体" w:hAnsi="宋体"/>
          <w:b/>
          <w:sz w:val="30"/>
          <w:szCs w:val="30"/>
          <w:highlight w:val="none"/>
        </w:rPr>
        <w:t>□</w:t>
      </w:r>
      <w:permEnd w:id="2"/>
      <w:r>
        <w:rPr>
          <w:rFonts w:hint="eastAsia" w:ascii="宋体" w:hAnsi="宋体"/>
          <w:b/>
          <w:sz w:val="30"/>
          <w:szCs w:val="30"/>
          <w:highlight w:val="none"/>
        </w:rPr>
        <w:t>质量管理体系</w:t>
      </w:r>
    </w:p>
    <w:p w14:paraId="46A79124">
      <w:pPr>
        <w:spacing w:line="276" w:lineRule="auto"/>
        <w:rPr>
          <w:rFonts w:hint="eastAsia" w:ascii="宋体" w:hAnsi="宋体"/>
          <w:b/>
          <w:sz w:val="30"/>
          <w:szCs w:val="30"/>
          <w:highlight w:val="none"/>
        </w:rPr>
      </w:pPr>
      <w:r>
        <w:rPr>
          <w:rFonts w:hint="eastAsia" w:ascii="宋体" w:hAnsi="宋体"/>
          <w:b/>
          <w:sz w:val="30"/>
          <w:szCs w:val="30"/>
          <w:highlight w:val="none"/>
        </w:rPr>
        <w:t xml:space="preserve">                  </w:t>
      </w:r>
      <w:permStart w:id="3" w:edGrp="everyone"/>
      <w:r>
        <w:rPr>
          <w:rFonts w:hint="eastAsia" w:ascii="宋体" w:hAnsi="宋体"/>
          <w:b/>
          <w:sz w:val="30"/>
          <w:szCs w:val="30"/>
          <w:highlight w:val="none"/>
        </w:rPr>
        <w:t>□</w:t>
      </w:r>
      <w:permEnd w:id="3"/>
      <w:r>
        <w:rPr>
          <w:rFonts w:hint="eastAsia" w:ascii="宋体" w:hAnsi="宋体"/>
          <w:b/>
          <w:sz w:val="30"/>
          <w:szCs w:val="30"/>
          <w:highlight w:val="none"/>
        </w:rPr>
        <w:t>环境管理体系</w:t>
      </w:r>
    </w:p>
    <w:p w14:paraId="2577E0C1">
      <w:pPr>
        <w:spacing w:line="276" w:lineRule="auto"/>
        <w:ind w:firstLine="2711" w:firstLineChars="900"/>
        <w:rPr>
          <w:rFonts w:hint="eastAsia" w:ascii="宋体" w:hAnsi="宋体"/>
          <w:b/>
          <w:sz w:val="30"/>
          <w:szCs w:val="30"/>
          <w:highlight w:val="none"/>
        </w:rPr>
      </w:pPr>
      <w:permStart w:id="4" w:edGrp="everyone"/>
      <w:r>
        <w:rPr>
          <w:rFonts w:hint="eastAsia" w:ascii="宋体" w:hAnsi="宋体"/>
          <w:b/>
          <w:sz w:val="30"/>
          <w:szCs w:val="30"/>
          <w:highlight w:val="none"/>
        </w:rPr>
        <w:t>□</w:t>
      </w:r>
      <w:permEnd w:id="4"/>
      <w:r>
        <w:rPr>
          <w:rFonts w:hint="eastAsia" w:ascii="宋体" w:hAnsi="宋体"/>
          <w:b/>
          <w:sz w:val="30"/>
          <w:szCs w:val="30"/>
          <w:highlight w:val="none"/>
        </w:rPr>
        <w:t>职业健康安全管理体系</w:t>
      </w:r>
    </w:p>
    <w:p w14:paraId="02F61B51">
      <w:pPr>
        <w:spacing w:line="276" w:lineRule="auto"/>
        <w:ind w:firstLine="2711" w:firstLineChars="900"/>
        <w:rPr>
          <w:rFonts w:hint="eastAsia" w:ascii="宋体" w:hAnsi="宋体"/>
          <w:b/>
          <w:sz w:val="30"/>
          <w:szCs w:val="30"/>
          <w:highlight w:val="none"/>
        </w:rPr>
      </w:pPr>
      <w:permStart w:id="5" w:edGrp="everyone"/>
      <w:r>
        <w:rPr>
          <w:rFonts w:hint="eastAsia" w:ascii="宋体" w:hAnsi="宋体"/>
          <w:b/>
          <w:sz w:val="30"/>
          <w:szCs w:val="30"/>
          <w:highlight w:val="none"/>
        </w:rPr>
        <w:t>□</w:t>
      </w:r>
      <w:permEnd w:id="5"/>
      <w:r>
        <w:rPr>
          <w:rFonts w:hint="eastAsia" w:ascii="宋体" w:hAnsi="宋体"/>
          <w:b/>
          <w:sz w:val="30"/>
          <w:szCs w:val="30"/>
          <w:highlight w:val="none"/>
        </w:rPr>
        <w:t>医疗器械质量管理体系</w:t>
      </w:r>
    </w:p>
    <w:p w14:paraId="3682A5AD">
      <w:pPr>
        <w:spacing w:line="276" w:lineRule="auto"/>
        <w:ind w:firstLine="2711" w:firstLineChars="900"/>
        <w:rPr>
          <w:rFonts w:hint="eastAsia" w:ascii="宋体" w:hAnsi="宋体"/>
          <w:b/>
          <w:sz w:val="30"/>
          <w:szCs w:val="30"/>
          <w:highlight w:val="none"/>
        </w:rPr>
      </w:pPr>
      <w:permStart w:id="6" w:edGrp="everyone"/>
      <w:r>
        <w:rPr>
          <w:rFonts w:hint="eastAsia" w:ascii="宋体" w:hAnsi="宋体"/>
          <w:b/>
          <w:sz w:val="30"/>
          <w:szCs w:val="30"/>
          <w:highlight w:val="none"/>
        </w:rPr>
        <w:t>□</w:t>
      </w:r>
      <w:permEnd w:id="6"/>
      <w:r>
        <w:rPr>
          <w:rFonts w:hint="eastAsia" w:ascii="宋体" w:hAnsi="宋体"/>
          <w:b/>
          <w:sz w:val="30"/>
          <w:szCs w:val="30"/>
          <w:highlight w:val="none"/>
        </w:rPr>
        <w:t>信息安全管理体系</w:t>
      </w:r>
    </w:p>
    <w:p w14:paraId="054E79AF">
      <w:pPr>
        <w:spacing w:line="276" w:lineRule="auto"/>
        <w:ind w:firstLine="2711" w:firstLineChars="900"/>
        <w:rPr>
          <w:rFonts w:hint="eastAsia" w:ascii="宋体" w:hAnsi="宋体"/>
          <w:b/>
          <w:sz w:val="30"/>
          <w:szCs w:val="30"/>
          <w:highlight w:val="none"/>
        </w:rPr>
      </w:pPr>
      <w:permStart w:id="7" w:edGrp="everyone"/>
      <w:r>
        <w:rPr>
          <w:rFonts w:hint="eastAsia" w:ascii="宋体" w:hAnsi="宋体"/>
          <w:b/>
          <w:sz w:val="30"/>
          <w:szCs w:val="30"/>
          <w:highlight w:val="none"/>
        </w:rPr>
        <w:t>□</w:t>
      </w:r>
      <w:permEnd w:id="7"/>
      <w:r>
        <w:rPr>
          <w:rFonts w:hint="eastAsia" w:ascii="宋体" w:hAnsi="宋体"/>
          <w:b/>
          <w:sz w:val="30"/>
          <w:szCs w:val="30"/>
          <w:highlight w:val="none"/>
          <w:lang w:val="en-US" w:eastAsia="zh-CN"/>
        </w:rPr>
        <w:t>隐私信息</w:t>
      </w:r>
      <w:r>
        <w:rPr>
          <w:rFonts w:hint="eastAsia" w:ascii="宋体" w:hAnsi="宋体"/>
          <w:b/>
          <w:sz w:val="30"/>
          <w:szCs w:val="30"/>
          <w:highlight w:val="none"/>
        </w:rPr>
        <w:t>管理体系</w:t>
      </w:r>
    </w:p>
    <w:p w14:paraId="6C043194">
      <w:pPr>
        <w:spacing w:line="276" w:lineRule="auto"/>
        <w:ind w:firstLine="2711" w:firstLineChars="900"/>
        <w:rPr>
          <w:rFonts w:hint="eastAsia" w:ascii="宋体" w:hAnsi="宋体"/>
          <w:b/>
          <w:sz w:val="30"/>
          <w:szCs w:val="30"/>
          <w:highlight w:val="none"/>
        </w:rPr>
      </w:pPr>
      <w:permStart w:id="8" w:edGrp="everyone"/>
      <w:r>
        <w:rPr>
          <w:rFonts w:hint="eastAsia" w:ascii="宋体" w:hAnsi="宋体"/>
          <w:b/>
          <w:sz w:val="30"/>
          <w:szCs w:val="30"/>
          <w:highlight w:val="none"/>
        </w:rPr>
        <w:t>□</w:t>
      </w:r>
      <w:permEnd w:id="8"/>
      <w:r>
        <w:rPr>
          <w:rFonts w:hint="eastAsia" w:ascii="宋体" w:hAnsi="宋体"/>
          <w:b/>
          <w:sz w:val="30"/>
          <w:szCs w:val="30"/>
          <w:highlight w:val="none"/>
          <w:lang w:val="en-US" w:eastAsia="zh-CN"/>
        </w:rPr>
        <w:t>信息技术服务管理体系</w:t>
      </w:r>
    </w:p>
    <w:p w14:paraId="4D1AC0FB">
      <w:pPr>
        <w:spacing w:line="276" w:lineRule="auto"/>
        <w:ind w:firstLine="2711" w:firstLineChars="900"/>
        <w:rPr>
          <w:rFonts w:hint="eastAsia" w:ascii="宋体" w:hAnsi="宋体"/>
          <w:b/>
          <w:sz w:val="30"/>
          <w:szCs w:val="30"/>
          <w:highlight w:val="none"/>
        </w:rPr>
      </w:pPr>
      <w:permStart w:id="9" w:edGrp="everyone"/>
      <w:r>
        <w:rPr>
          <w:rFonts w:hint="eastAsia" w:ascii="宋体" w:hAnsi="宋体"/>
          <w:b/>
          <w:sz w:val="30"/>
          <w:szCs w:val="30"/>
          <w:highlight w:val="none"/>
        </w:rPr>
        <w:t>□</w:t>
      </w:r>
      <w:permEnd w:id="9"/>
      <w:r>
        <w:rPr>
          <w:rFonts w:hint="eastAsia" w:ascii="宋体" w:hAnsi="宋体"/>
          <w:b/>
          <w:sz w:val="30"/>
          <w:szCs w:val="30"/>
          <w:highlight w:val="none"/>
        </w:rPr>
        <w:t>有害物质过程管理体系</w:t>
      </w:r>
    </w:p>
    <w:p w14:paraId="166A3394">
      <w:pPr>
        <w:spacing w:line="276" w:lineRule="auto"/>
        <w:ind w:firstLine="2711" w:firstLineChars="900"/>
        <w:rPr>
          <w:rFonts w:hint="eastAsia" w:ascii="宋体" w:hAnsi="宋体"/>
          <w:b/>
          <w:sz w:val="30"/>
          <w:szCs w:val="30"/>
          <w:highlight w:val="none"/>
        </w:rPr>
      </w:pPr>
      <w:permStart w:id="10" w:edGrp="everyone"/>
      <w:r>
        <w:rPr>
          <w:rFonts w:hint="eastAsia" w:ascii="宋体" w:hAnsi="宋体"/>
          <w:b/>
          <w:sz w:val="30"/>
          <w:szCs w:val="30"/>
          <w:highlight w:val="none"/>
        </w:rPr>
        <w:t>□</w:t>
      </w:r>
      <w:permEnd w:id="10"/>
      <w:r>
        <w:rPr>
          <w:rFonts w:hint="eastAsia" w:ascii="宋体" w:hAnsi="宋体"/>
          <w:b/>
          <w:sz w:val="30"/>
          <w:szCs w:val="30"/>
          <w:highlight w:val="none"/>
        </w:rPr>
        <w:t>静电防护管理体系</w:t>
      </w:r>
    </w:p>
    <w:p w14:paraId="034978CE">
      <w:pPr>
        <w:spacing w:line="276" w:lineRule="auto"/>
        <w:ind w:firstLine="2711" w:firstLineChars="900"/>
        <w:rPr>
          <w:rFonts w:hint="eastAsia" w:ascii="宋体" w:hAnsi="宋体"/>
          <w:b/>
          <w:sz w:val="30"/>
          <w:szCs w:val="30"/>
          <w:highlight w:val="none"/>
        </w:rPr>
      </w:pPr>
      <w:permStart w:id="11" w:edGrp="everyone"/>
      <w:r>
        <w:rPr>
          <w:rFonts w:hint="eastAsia" w:ascii="宋体" w:hAnsi="宋体"/>
          <w:b/>
          <w:sz w:val="30"/>
          <w:szCs w:val="30"/>
          <w:highlight w:val="none"/>
        </w:rPr>
        <w:t>□</w:t>
      </w:r>
      <w:permEnd w:id="11"/>
      <w:r>
        <w:rPr>
          <w:rFonts w:hint="eastAsia" w:ascii="宋体" w:hAnsi="宋体"/>
          <w:b/>
          <w:sz w:val="30"/>
          <w:szCs w:val="30"/>
          <w:highlight w:val="none"/>
        </w:rPr>
        <w:t>航空航天与国防组织质量管理体系</w:t>
      </w:r>
    </w:p>
    <w:p w14:paraId="34AC279E">
      <w:pPr>
        <w:spacing w:line="276" w:lineRule="auto"/>
        <w:ind w:firstLine="2711" w:firstLineChars="900"/>
        <w:rPr>
          <w:rFonts w:hint="eastAsia" w:ascii="宋体" w:hAnsi="宋体"/>
          <w:b/>
          <w:sz w:val="30"/>
          <w:szCs w:val="30"/>
          <w:highlight w:val="none"/>
        </w:rPr>
      </w:pPr>
      <w:permStart w:id="12" w:edGrp="everyone"/>
      <w:r>
        <w:rPr>
          <w:rFonts w:hint="eastAsia" w:ascii="宋体" w:hAnsi="宋体"/>
          <w:b/>
          <w:sz w:val="30"/>
          <w:szCs w:val="30"/>
          <w:highlight w:val="none"/>
        </w:rPr>
        <w:t>□</w:t>
      </w:r>
      <w:permEnd w:id="12"/>
      <w:r>
        <w:rPr>
          <w:rFonts w:hint="eastAsia" w:ascii="宋体" w:hAnsi="宋体"/>
          <w:b/>
          <w:sz w:val="30"/>
          <w:szCs w:val="30"/>
          <w:highlight w:val="none"/>
        </w:rPr>
        <w:t>航空航天与国防经销商质量管理体系</w:t>
      </w:r>
    </w:p>
    <w:p w14:paraId="25658F3A">
      <w:pPr>
        <w:spacing w:line="276" w:lineRule="auto"/>
        <w:ind w:firstLine="2711" w:firstLineChars="900"/>
        <w:rPr>
          <w:rFonts w:hint="eastAsia" w:ascii="宋体" w:hAnsi="宋体"/>
          <w:b/>
          <w:sz w:val="30"/>
          <w:szCs w:val="30"/>
          <w:highlight w:val="none"/>
        </w:rPr>
      </w:pPr>
      <w:permStart w:id="13" w:edGrp="everyone"/>
      <w:r>
        <w:rPr>
          <w:rFonts w:hint="eastAsia" w:ascii="宋体" w:hAnsi="宋体"/>
          <w:b/>
          <w:sz w:val="30"/>
          <w:szCs w:val="30"/>
          <w:highlight w:val="none"/>
        </w:rPr>
        <w:t>□</w:t>
      </w:r>
      <w:permEnd w:id="13"/>
      <w:r>
        <w:rPr>
          <w:rFonts w:hint="eastAsia" w:ascii="宋体" w:hAnsi="宋体"/>
          <w:b/>
          <w:sz w:val="30"/>
          <w:szCs w:val="30"/>
          <w:highlight w:val="none"/>
        </w:rPr>
        <w:t>航空</w:t>
      </w:r>
      <w:r>
        <w:rPr>
          <w:rFonts w:hint="eastAsia" w:ascii="宋体" w:hAnsi="宋体"/>
          <w:b/>
          <w:sz w:val="30"/>
          <w:szCs w:val="30"/>
          <w:highlight w:val="none"/>
          <w:lang w:val="en-US" w:eastAsia="zh-CN"/>
        </w:rPr>
        <w:t>电子</w:t>
      </w:r>
      <w:r>
        <w:rPr>
          <w:rFonts w:hint="eastAsia" w:ascii="宋体" w:hAnsi="宋体"/>
          <w:b/>
          <w:sz w:val="30"/>
          <w:szCs w:val="30"/>
          <w:highlight w:val="none"/>
        </w:rPr>
        <w:t>零部件可靠性质量管理体系</w:t>
      </w:r>
    </w:p>
    <w:p w14:paraId="4B789564">
      <w:pPr>
        <w:spacing w:line="276" w:lineRule="auto"/>
        <w:ind w:firstLine="2711" w:firstLineChars="900"/>
        <w:rPr>
          <w:rFonts w:hint="eastAsia" w:ascii="宋体" w:hAnsi="宋体"/>
          <w:b/>
          <w:sz w:val="30"/>
          <w:szCs w:val="30"/>
          <w:highlight w:val="none"/>
        </w:rPr>
      </w:pPr>
      <w:permStart w:id="14" w:edGrp="everyone"/>
      <w:r>
        <w:rPr>
          <w:rFonts w:hint="eastAsia" w:ascii="宋体" w:hAnsi="宋体"/>
          <w:b/>
          <w:sz w:val="30"/>
          <w:szCs w:val="30"/>
          <w:highlight w:val="none"/>
        </w:rPr>
        <w:t>□</w:t>
      </w:r>
      <w:permEnd w:id="14"/>
      <w:r>
        <w:rPr>
          <w:rFonts w:hint="eastAsia" w:ascii="宋体" w:hAnsi="宋体"/>
          <w:b/>
          <w:sz w:val="30"/>
          <w:szCs w:val="30"/>
          <w:highlight w:val="none"/>
        </w:rPr>
        <w:t>通讯行业质量管理体系</w:t>
      </w:r>
    </w:p>
    <w:p w14:paraId="6C0808A0">
      <w:pPr>
        <w:spacing w:line="276" w:lineRule="auto"/>
        <w:ind w:firstLine="2711" w:firstLineChars="900"/>
        <w:rPr>
          <w:rFonts w:hint="eastAsia" w:ascii="宋体" w:hAnsi="宋体"/>
          <w:b/>
          <w:sz w:val="30"/>
          <w:szCs w:val="30"/>
          <w:highlight w:val="none"/>
        </w:rPr>
      </w:pPr>
      <w:permStart w:id="15" w:edGrp="everyone"/>
      <w:r>
        <w:rPr>
          <w:rFonts w:hint="eastAsia" w:ascii="宋体" w:hAnsi="宋体"/>
          <w:b/>
          <w:sz w:val="30"/>
          <w:szCs w:val="30"/>
          <w:highlight w:val="none"/>
        </w:rPr>
        <w:t>□</w:t>
      </w:r>
      <w:permEnd w:id="15"/>
      <w:r>
        <w:rPr>
          <w:rFonts w:hint="eastAsia" w:ascii="宋体" w:hAnsi="宋体"/>
          <w:b/>
          <w:sz w:val="30"/>
          <w:szCs w:val="30"/>
          <w:highlight w:val="none"/>
        </w:rPr>
        <w:t xml:space="preserve">其他认证  </w:t>
      </w:r>
    </w:p>
    <w:p w14:paraId="0B3FC02A">
      <w:pPr>
        <w:spacing w:line="276" w:lineRule="auto"/>
        <w:rPr>
          <w:rFonts w:hint="eastAsia" w:ascii="宋体" w:hAnsi="宋体"/>
          <w:sz w:val="24"/>
          <w:highlight w:val="none"/>
        </w:rPr>
      </w:pPr>
      <w:permStart w:id="16" w:edGrp="everyone"/>
      <w:permEnd w:id="16"/>
    </w:p>
    <w:p w14:paraId="27BBBD3D">
      <w:pPr>
        <w:spacing w:line="276" w:lineRule="auto"/>
        <w:rPr>
          <w:rFonts w:hint="eastAsia" w:ascii="宋体" w:hAnsi="宋体"/>
          <w:b/>
          <w:bCs/>
          <w:sz w:val="32"/>
          <w:szCs w:val="32"/>
          <w:highlight w:val="none"/>
        </w:rPr>
      </w:pPr>
      <w:r>
        <w:rPr>
          <w:rFonts w:hint="eastAsia" w:ascii="宋体" w:hAnsi="宋体"/>
          <w:b/>
          <w:bCs/>
          <w:sz w:val="32"/>
          <w:szCs w:val="32"/>
          <w:highlight w:val="none"/>
        </w:rPr>
        <w:t>委托方（甲方）</w:t>
      </w:r>
      <w:permStart w:id="17" w:edGrp="everyone"/>
      <w:r>
        <w:rPr>
          <w:rFonts w:hint="eastAsia" w:ascii="宋体" w:hAnsi="宋体"/>
          <w:b/>
          <w:bCs/>
          <w:sz w:val="32"/>
          <w:szCs w:val="32"/>
          <w:highlight w:val="none"/>
          <w:u w:val="single"/>
        </w:rPr>
        <w:t xml:space="preserve">                                            </w:t>
      </w:r>
      <w:permEnd w:id="17"/>
    </w:p>
    <w:p w14:paraId="6857868E">
      <w:pPr>
        <w:spacing w:line="276" w:lineRule="auto"/>
        <w:rPr>
          <w:rFonts w:hint="eastAsia" w:ascii="宋体" w:hAnsi="宋体"/>
          <w:sz w:val="24"/>
          <w:highlight w:val="none"/>
        </w:rPr>
      </w:pPr>
    </w:p>
    <w:p w14:paraId="00D1D4AD">
      <w:pPr>
        <w:spacing w:line="276" w:lineRule="auto"/>
        <w:rPr>
          <w:rFonts w:hint="eastAsia" w:ascii="宋体" w:hAnsi="宋体"/>
          <w:b/>
          <w:bCs/>
          <w:sz w:val="32"/>
          <w:szCs w:val="32"/>
          <w:highlight w:val="none"/>
          <w:u w:val="single"/>
        </w:rPr>
      </w:pPr>
      <w:r>
        <w:rPr>
          <w:rFonts w:hint="eastAsia" w:ascii="宋体" w:hAnsi="宋体"/>
          <w:b/>
          <w:bCs/>
          <w:sz w:val="32"/>
          <w:szCs w:val="32"/>
          <w:highlight w:val="none"/>
        </w:rPr>
        <w:t>审核方（乙方）</w:t>
      </w:r>
      <w:r>
        <w:rPr>
          <w:rFonts w:hint="eastAsia" w:ascii="宋体" w:hAnsi="宋体"/>
          <w:b/>
          <w:bCs/>
          <w:sz w:val="32"/>
          <w:szCs w:val="32"/>
          <w:highlight w:val="none"/>
          <w:u w:val="single"/>
        </w:rPr>
        <w:t xml:space="preserve"> </w:t>
      </w:r>
      <w:r>
        <w:rPr>
          <w:rFonts w:ascii="宋体" w:hAnsi="宋体"/>
          <w:b/>
          <w:bCs/>
          <w:sz w:val="32"/>
          <w:szCs w:val="32"/>
          <w:highlight w:val="none"/>
          <w:u w:val="single"/>
        </w:rPr>
        <w:t xml:space="preserve">      </w:t>
      </w:r>
      <w:r>
        <w:rPr>
          <w:rFonts w:hint="eastAsia" w:ascii="宋体" w:hAnsi="宋体"/>
          <w:b/>
          <w:bCs/>
          <w:sz w:val="32"/>
          <w:szCs w:val="32"/>
          <w:highlight w:val="none"/>
          <w:u w:val="single"/>
        </w:rPr>
        <w:t xml:space="preserve">上海恩可埃认证有限公司 </w:t>
      </w:r>
      <w:r>
        <w:rPr>
          <w:rFonts w:ascii="宋体" w:hAnsi="宋体"/>
          <w:b/>
          <w:bCs/>
          <w:sz w:val="32"/>
          <w:szCs w:val="32"/>
          <w:highlight w:val="none"/>
          <w:u w:val="single"/>
        </w:rPr>
        <w:t xml:space="preserve">               </w:t>
      </w:r>
    </w:p>
    <w:p w14:paraId="0CD89138">
      <w:pPr>
        <w:spacing w:line="276" w:lineRule="auto"/>
        <w:rPr>
          <w:rFonts w:hint="eastAsia" w:ascii="宋体" w:hAnsi="宋体"/>
          <w:b/>
          <w:bCs/>
          <w:sz w:val="32"/>
          <w:szCs w:val="32"/>
          <w:highlight w:val="none"/>
        </w:rPr>
        <w:sectPr>
          <w:headerReference r:id="rId3" w:type="default"/>
          <w:footerReference r:id="rId4" w:type="default"/>
          <w:footerReference r:id="rId5" w:type="even"/>
          <w:pgSz w:w="11906" w:h="16838"/>
          <w:pgMar w:top="1134" w:right="1134" w:bottom="1134" w:left="1134" w:header="850" w:footer="680" w:gutter="284"/>
          <w:cols w:space="720" w:num="1"/>
          <w:docGrid w:type="lines" w:linePitch="312" w:charSpace="0"/>
        </w:sectPr>
      </w:pPr>
    </w:p>
    <w:p w14:paraId="6B47D6CD">
      <w:pPr>
        <w:spacing w:before="78" w:beforeLines="25" w:after="109" w:afterLines="35" w:line="276" w:lineRule="auto"/>
        <w:ind w:firstLine="442" w:firstLineChars="200"/>
        <w:rPr>
          <w:rFonts w:hint="eastAsia" w:ascii="宋体" w:hAnsi="宋体"/>
          <w:b/>
          <w:sz w:val="22"/>
          <w:szCs w:val="22"/>
          <w:highlight w:val="none"/>
        </w:rPr>
      </w:pPr>
      <w:r>
        <w:rPr>
          <w:rFonts w:hint="eastAsia" w:ascii="宋体" w:hAnsi="宋体"/>
          <w:b/>
          <w:bCs/>
          <w:sz w:val="22"/>
          <w:szCs w:val="22"/>
          <w:highlight w:val="none"/>
        </w:rPr>
        <w:t>依据《中华人民共和国民法典》之规定，甲乙双方就管理体系认证项目，经平等协商，在真实、充分地表达各自意愿的基础上，签订本合同，双方共同遵守履行</w:t>
      </w:r>
      <w:r>
        <w:rPr>
          <w:rFonts w:hint="eastAsia" w:ascii="宋体" w:hAnsi="宋体"/>
          <w:sz w:val="22"/>
          <w:szCs w:val="22"/>
          <w:highlight w:val="none"/>
        </w:rPr>
        <w:t>。</w:t>
      </w:r>
      <w:r>
        <w:rPr>
          <w:rFonts w:hint="eastAsia" w:ascii="宋体" w:hAnsi="宋体"/>
          <w:b/>
          <w:sz w:val="22"/>
          <w:szCs w:val="22"/>
          <w:highlight w:val="none"/>
        </w:rPr>
        <w:t>双方确认，在签订本合同之前，已经充分知悉并了解本合同全部定义、条款之内容。</w:t>
      </w:r>
    </w:p>
    <w:p w14:paraId="3E086A6D">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管理体系认证项目的内容和要求</w:t>
      </w:r>
    </w:p>
    <w:p w14:paraId="63E7A1B3">
      <w:pPr>
        <w:numPr>
          <w:ilvl w:val="0"/>
          <w:numId w:val="2"/>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甲方向乙方申请以下管理体系认证：</w:t>
      </w:r>
    </w:p>
    <w:p w14:paraId="48334285">
      <w:pPr>
        <w:tabs>
          <w:tab w:val="left" w:pos="360"/>
        </w:tabs>
        <w:spacing w:before="78" w:beforeLines="25" w:after="109" w:afterLines="35" w:line="276" w:lineRule="auto"/>
        <w:ind w:firstLine="424" w:firstLineChars="193"/>
        <w:rPr>
          <w:rFonts w:hint="eastAsia" w:ascii="宋体" w:hAnsi="宋体"/>
          <w:szCs w:val="21"/>
          <w:highlight w:val="none"/>
        </w:rPr>
      </w:pPr>
      <w:permStart w:id="18" w:edGrp="everyone"/>
      <w:r>
        <w:rPr>
          <w:rFonts w:hint="eastAsia" w:ascii="宋体" w:hAnsi="宋体"/>
          <w:bCs/>
          <w:sz w:val="22"/>
          <w:szCs w:val="22"/>
          <w:highlight w:val="none"/>
        </w:rPr>
        <w:t>□</w:t>
      </w:r>
      <w:permEnd w:id="18"/>
      <w:r>
        <w:rPr>
          <w:rFonts w:hint="eastAsia" w:ascii="宋体" w:hAnsi="宋体"/>
          <w:bCs/>
          <w:sz w:val="22"/>
          <w:szCs w:val="22"/>
          <w:highlight w:val="none"/>
        </w:rPr>
        <w:t xml:space="preserve">质量管理体系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r>
        <w:rPr>
          <w:rFonts w:hint="eastAsia" w:ascii="宋体" w:hAnsi="宋体"/>
          <w:szCs w:val="21"/>
          <w:highlight w:val="none"/>
        </w:rPr>
        <w:t>GB/T19001-2016/ISO9001:2015</w:t>
      </w:r>
    </w:p>
    <w:p w14:paraId="718BB0C5">
      <w:pPr>
        <w:tabs>
          <w:tab w:val="left" w:pos="360"/>
        </w:tabs>
        <w:spacing w:before="78" w:beforeLines="25" w:after="109" w:afterLines="35" w:line="276" w:lineRule="auto"/>
        <w:ind w:firstLine="424" w:firstLineChars="193"/>
        <w:rPr>
          <w:rFonts w:hint="eastAsia" w:ascii="宋体" w:hAnsi="宋体"/>
          <w:bCs/>
          <w:sz w:val="22"/>
          <w:szCs w:val="22"/>
          <w:highlight w:val="none"/>
        </w:rPr>
      </w:pPr>
      <w:permStart w:id="19" w:edGrp="everyone"/>
      <w:r>
        <w:rPr>
          <w:rFonts w:hint="eastAsia" w:ascii="宋体" w:hAnsi="宋体"/>
          <w:bCs/>
          <w:sz w:val="22"/>
          <w:szCs w:val="22"/>
          <w:highlight w:val="none"/>
        </w:rPr>
        <w:t>□</w:t>
      </w:r>
      <w:permEnd w:id="19"/>
      <w:r>
        <w:rPr>
          <w:rFonts w:hint="eastAsia" w:ascii="宋体" w:hAnsi="宋体"/>
          <w:bCs/>
          <w:sz w:val="22"/>
          <w:szCs w:val="22"/>
          <w:highlight w:val="none"/>
        </w:rPr>
        <w:t xml:space="preserve">环境管理体系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r>
        <w:rPr>
          <w:rFonts w:hint="eastAsia" w:ascii="宋体" w:hAnsi="宋体"/>
          <w:szCs w:val="21"/>
          <w:highlight w:val="none"/>
        </w:rPr>
        <w:t>GB/T24001-2016/ISO14001:2015</w:t>
      </w:r>
    </w:p>
    <w:p w14:paraId="17096836">
      <w:pPr>
        <w:tabs>
          <w:tab w:val="left" w:pos="360"/>
        </w:tabs>
        <w:spacing w:before="78" w:beforeLines="25" w:after="109" w:afterLines="35" w:line="276" w:lineRule="auto"/>
        <w:ind w:firstLine="424" w:firstLineChars="193"/>
        <w:rPr>
          <w:rFonts w:hint="eastAsia" w:ascii="宋体" w:hAnsi="宋体"/>
          <w:bCs/>
          <w:sz w:val="22"/>
          <w:szCs w:val="22"/>
          <w:highlight w:val="none"/>
        </w:rPr>
      </w:pPr>
      <w:permStart w:id="20" w:edGrp="everyone"/>
      <w:r>
        <w:rPr>
          <w:rFonts w:hint="eastAsia" w:ascii="宋体" w:hAnsi="宋体"/>
          <w:bCs/>
          <w:sz w:val="22"/>
          <w:szCs w:val="22"/>
          <w:highlight w:val="none"/>
        </w:rPr>
        <w:t>□</w:t>
      </w:r>
      <w:permEnd w:id="20"/>
      <w:r>
        <w:rPr>
          <w:rFonts w:hint="eastAsia" w:ascii="宋体" w:hAnsi="宋体"/>
          <w:bCs/>
          <w:sz w:val="22"/>
          <w:szCs w:val="22"/>
          <w:highlight w:val="none"/>
        </w:rPr>
        <w:t xml:space="preserve">职业健康安全管理体系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r>
        <w:rPr>
          <w:rFonts w:hint="eastAsia" w:ascii="宋体" w:hAnsi="宋体"/>
          <w:szCs w:val="21"/>
          <w:highlight w:val="none"/>
        </w:rPr>
        <w:t>GB/T45001-2020/ISO45001:201</w:t>
      </w:r>
      <w:r>
        <w:rPr>
          <w:rFonts w:ascii="宋体" w:hAnsi="宋体"/>
          <w:szCs w:val="21"/>
          <w:highlight w:val="none"/>
        </w:rPr>
        <w:t>8</w:t>
      </w:r>
    </w:p>
    <w:p w14:paraId="5EEF8FCB">
      <w:pPr>
        <w:tabs>
          <w:tab w:val="left" w:pos="360"/>
        </w:tabs>
        <w:spacing w:before="78" w:beforeLines="25" w:after="109" w:afterLines="35" w:line="276" w:lineRule="auto"/>
        <w:ind w:firstLine="424" w:firstLineChars="193"/>
        <w:rPr>
          <w:rFonts w:hint="eastAsia" w:ascii="宋体" w:hAnsi="宋体"/>
          <w:bCs/>
          <w:sz w:val="22"/>
          <w:szCs w:val="22"/>
          <w:highlight w:val="none"/>
        </w:rPr>
      </w:pPr>
      <w:permStart w:id="21" w:edGrp="everyone"/>
      <w:r>
        <w:rPr>
          <w:rFonts w:hint="eastAsia" w:ascii="宋体" w:hAnsi="宋体"/>
          <w:bCs/>
          <w:sz w:val="22"/>
          <w:szCs w:val="22"/>
          <w:highlight w:val="none"/>
        </w:rPr>
        <w:t>□</w:t>
      </w:r>
      <w:permEnd w:id="21"/>
      <w:r>
        <w:rPr>
          <w:rFonts w:hint="eastAsia" w:ascii="宋体" w:hAnsi="宋体"/>
          <w:bCs/>
          <w:sz w:val="22"/>
          <w:szCs w:val="22"/>
          <w:highlight w:val="none"/>
        </w:rPr>
        <w:t xml:space="preserve">医疗器械质量管理体系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r>
        <w:rPr>
          <w:rFonts w:hint="eastAsia" w:ascii="宋体" w:hAnsi="宋体"/>
          <w:szCs w:val="21"/>
          <w:highlight w:val="none"/>
        </w:rPr>
        <w:t>ISO13485:2016</w:t>
      </w:r>
    </w:p>
    <w:p w14:paraId="276C5715">
      <w:pPr>
        <w:tabs>
          <w:tab w:val="left" w:pos="360"/>
        </w:tabs>
        <w:spacing w:before="78" w:beforeLines="25" w:after="109" w:afterLines="35" w:line="276" w:lineRule="auto"/>
        <w:ind w:firstLine="424" w:firstLineChars="193"/>
        <w:rPr>
          <w:rFonts w:ascii="宋体" w:hAnsi="宋体"/>
          <w:bCs/>
          <w:sz w:val="22"/>
          <w:szCs w:val="22"/>
          <w:highlight w:val="none"/>
        </w:rPr>
      </w:pPr>
      <w:permStart w:id="22" w:edGrp="everyone"/>
      <w:r>
        <w:rPr>
          <w:rFonts w:hint="eastAsia" w:ascii="宋体" w:hAnsi="宋体"/>
          <w:bCs/>
          <w:sz w:val="22"/>
          <w:szCs w:val="22"/>
          <w:highlight w:val="none"/>
        </w:rPr>
        <w:t>□</w:t>
      </w:r>
      <w:permEnd w:id="22"/>
      <w:r>
        <w:rPr>
          <w:rFonts w:hint="eastAsia" w:ascii="宋体" w:hAnsi="宋体"/>
          <w:bCs/>
          <w:sz w:val="22"/>
          <w:szCs w:val="22"/>
          <w:highlight w:val="none"/>
        </w:rPr>
        <w:t xml:space="preserve">信息安全管理体系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r>
        <w:rPr>
          <w:rFonts w:hint="eastAsia" w:ascii="宋体" w:hAnsi="宋体"/>
          <w:bCs/>
          <w:sz w:val="22"/>
          <w:szCs w:val="22"/>
          <w:highlight w:val="none"/>
        </w:rPr>
        <w:t>ISO</w:t>
      </w:r>
      <w:r>
        <w:rPr>
          <w:rFonts w:ascii="宋体" w:hAnsi="宋体"/>
          <w:bCs/>
          <w:sz w:val="22"/>
          <w:szCs w:val="22"/>
          <w:highlight w:val="none"/>
        </w:rPr>
        <w:t xml:space="preserve">/IEC </w:t>
      </w:r>
      <w:r>
        <w:rPr>
          <w:rFonts w:hint="eastAsia" w:ascii="宋体" w:hAnsi="宋体"/>
          <w:bCs/>
          <w:sz w:val="22"/>
          <w:szCs w:val="22"/>
          <w:highlight w:val="none"/>
        </w:rPr>
        <w:t>27001:20</w:t>
      </w:r>
      <w:r>
        <w:rPr>
          <w:rFonts w:ascii="宋体" w:hAnsi="宋体"/>
          <w:bCs/>
          <w:sz w:val="22"/>
          <w:szCs w:val="22"/>
          <w:highlight w:val="none"/>
        </w:rPr>
        <w:t>22</w:t>
      </w:r>
    </w:p>
    <w:p w14:paraId="12B11152">
      <w:pPr>
        <w:tabs>
          <w:tab w:val="left" w:pos="360"/>
        </w:tabs>
        <w:spacing w:before="78" w:beforeLines="25" w:after="109" w:afterLines="35" w:line="276" w:lineRule="auto"/>
        <w:ind w:firstLine="424" w:firstLineChars="193"/>
        <w:rPr>
          <w:rFonts w:hint="eastAsia" w:ascii="宋体" w:hAnsi="宋体"/>
          <w:bCs/>
          <w:sz w:val="22"/>
          <w:szCs w:val="22"/>
          <w:highlight w:val="none"/>
          <w:lang w:val="en-US" w:eastAsia="zh-CN"/>
        </w:rPr>
      </w:pPr>
      <w:permStart w:id="23" w:edGrp="everyone"/>
      <w:r>
        <w:rPr>
          <w:rFonts w:hint="eastAsia" w:ascii="宋体" w:hAnsi="宋体"/>
          <w:bCs/>
          <w:sz w:val="22"/>
          <w:szCs w:val="22"/>
          <w:highlight w:val="none"/>
        </w:rPr>
        <w:t>□</w:t>
      </w:r>
      <w:permEnd w:id="23"/>
      <w:r>
        <w:rPr>
          <w:rFonts w:hint="eastAsia" w:ascii="宋体" w:hAnsi="宋体"/>
          <w:bCs/>
          <w:sz w:val="22"/>
          <w:szCs w:val="22"/>
          <w:highlight w:val="none"/>
          <w:lang w:val="en-US" w:eastAsia="zh-CN"/>
        </w:rPr>
        <w:t>隐私信息</w:t>
      </w:r>
      <w:r>
        <w:rPr>
          <w:rFonts w:hint="eastAsia" w:ascii="宋体" w:hAnsi="宋体"/>
          <w:bCs/>
          <w:sz w:val="22"/>
          <w:szCs w:val="22"/>
          <w:highlight w:val="none"/>
        </w:rPr>
        <w:t xml:space="preserve">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r>
        <w:rPr>
          <w:rFonts w:hint="eastAsia" w:ascii="宋体" w:hAnsi="宋体"/>
          <w:bCs/>
          <w:sz w:val="22"/>
          <w:szCs w:val="22"/>
          <w:highlight w:val="none"/>
        </w:rPr>
        <w:t>ISO</w:t>
      </w:r>
      <w:r>
        <w:rPr>
          <w:rFonts w:ascii="宋体" w:hAnsi="宋体"/>
          <w:bCs/>
          <w:sz w:val="22"/>
          <w:szCs w:val="22"/>
          <w:highlight w:val="none"/>
        </w:rPr>
        <w:t xml:space="preserve">/IEC </w:t>
      </w:r>
      <w:r>
        <w:rPr>
          <w:rFonts w:hint="eastAsia" w:ascii="宋体" w:hAnsi="宋体"/>
          <w:bCs/>
          <w:sz w:val="22"/>
          <w:szCs w:val="22"/>
          <w:highlight w:val="none"/>
        </w:rPr>
        <w:t>27</w:t>
      </w:r>
      <w:r>
        <w:rPr>
          <w:rFonts w:hint="eastAsia" w:ascii="宋体" w:hAnsi="宋体"/>
          <w:bCs/>
          <w:sz w:val="22"/>
          <w:szCs w:val="22"/>
          <w:highlight w:val="none"/>
          <w:lang w:val="en-US" w:eastAsia="zh-CN"/>
        </w:rPr>
        <w:t>7</w:t>
      </w:r>
      <w:r>
        <w:rPr>
          <w:rFonts w:hint="eastAsia" w:ascii="宋体" w:hAnsi="宋体"/>
          <w:bCs/>
          <w:sz w:val="22"/>
          <w:szCs w:val="22"/>
          <w:highlight w:val="none"/>
        </w:rPr>
        <w:t>01:20</w:t>
      </w:r>
      <w:r>
        <w:rPr>
          <w:rFonts w:hint="eastAsia" w:ascii="宋体" w:hAnsi="宋体"/>
          <w:bCs/>
          <w:sz w:val="22"/>
          <w:szCs w:val="22"/>
          <w:highlight w:val="none"/>
          <w:lang w:val="en-US" w:eastAsia="zh-CN"/>
        </w:rPr>
        <w:t>19</w:t>
      </w:r>
    </w:p>
    <w:p w14:paraId="096A432B">
      <w:pPr>
        <w:tabs>
          <w:tab w:val="left" w:pos="360"/>
        </w:tabs>
        <w:spacing w:before="78" w:beforeLines="25" w:after="109" w:afterLines="35" w:line="276" w:lineRule="auto"/>
        <w:ind w:firstLine="424" w:firstLineChars="193"/>
        <w:rPr>
          <w:rFonts w:hint="default" w:ascii="宋体" w:hAnsi="宋体" w:eastAsia="宋体"/>
          <w:bCs/>
          <w:sz w:val="22"/>
          <w:szCs w:val="22"/>
          <w:highlight w:val="none"/>
          <w:lang w:val="en-US" w:eastAsia="zh-CN"/>
        </w:rPr>
      </w:pPr>
      <w:permStart w:id="24" w:edGrp="everyone"/>
      <w:r>
        <w:rPr>
          <w:rFonts w:hint="default" w:ascii="宋体" w:hAnsi="宋体"/>
          <w:bCs/>
          <w:sz w:val="22"/>
          <w:szCs w:val="22"/>
          <w:highlight w:val="none"/>
          <w:lang w:val="en-US" w:eastAsia="zh-CN"/>
        </w:rPr>
        <w:t>□</w:t>
      </w:r>
      <w:permEnd w:id="24"/>
      <w:r>
        <w:rPr>
          <w:rFonts w:hint="default" w:ascii="宋体" w:hAnsi="宋体"/>
          <w:bCs/>
          <w:sz w:val="22"/>
          <w:szCs w:val="22"/>
          <w:highlight w:val="none"/>
          <w:lang w:val="en-US" w:eastAsia="zh-CN"/>
        </w:rPr>
        <w:t>信息技术服务管理</w:t>
      </w:r>
      <w:r>
        <w:rPr>
          <w:rFonts w:hint="eastAsia" w:ascii="宋体" w:hAnsi="宋体"/>
          <w:bCs/>
          <w:sz w:val="22"/>
          <w:szCs w:val="22"/>
          <w:highlight w:val="none"/>
          <w:lang w:val="en-US" w:eastAsia="zh-CN"/>
        </w:rPr>
        <w:t>体系</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r>
        <w:rPr>
          <w:rFonts w:hint="eastAsia" w:ascii="宋体" w:hAnsi="宋体"/>
          <w:bCs/>
          <w:sz w:val="22"/>
          <w:szCs w:val="22"/>
          <w:highlight w:val="none"/>
        </w:rPr>
        <w:t>ISO</w:t>
      </w:r>
      <w:r>
        <w:rPr>
          <w:rFonts w:ascii="宋体" w:hAnsi="宋体"/>
          <w:bCs/>
          <w:sz w:val="22"/>
          <w:szCs w:val="22"/>
          <w:highlight w:val="none"/>
        </w:rPr>
        <w:t>/IEC</w:t>
      </w:r>
      <w:r>
        <w:rPr>
          <w:rFonts w:hint="eastAsia" w:ascii="宋体" w:hAnsi="宋体"/>
          <w:bCs/>
          <w:sz w:val="22"/>
          <w:szCs w:val="22"/>
          <w:highlight w:val="none"/>
          <w:lang w:val="en-US" w:eastAsia="zh-CN"/>
        </w:rPr>
        <w:t xml:space="preserve"> 20000:2018</w:t>
      </w:r>
    </w:p>
    <w:p w14:paraId="02558F88">
      <w:pPr>
        <w:tabs>
          <w:tab w:val="left" w:pos="360"/>
        </w:tabs>
        <w:spacing w:before="78" w:beforeLines="25" w:after="109" w:afterLines="35" w:line="276" w:lineRule="auto"/>
        <w:ind w:firstLine="424" w:firstLineChars="193"/>
        <w:rPr>
          <w:rFonts w:hint="eastAsia" w:ascii="宋体" w:hAnsi="宋体"/>
          <w:sz w:val="22"/>
          <w:szCs w:val="22"/>
          <w:highlight w:val="none"/>
        </w:rPr>
      </w:pPr>
      <w:permStart w:id="25" w:edGrp="everyone"/>
      <w:r>
        <w:rPr>
          <w:rFonts w:hint="eastAsia" w:ascii="宋体" w:hAnsi="宋体"/>
          <w:sz w:val="22"/>
          <w:szCs w:val="22"/>
          <w:highlight w:val="none"/>
        </w:rPr>
        <w:t>□</w:t>
      </w:r>
      <w:permEnd w:id="25"/>
      <w:r>
        <w:rPr>
          <w:rFonts w:hint="eastAsia" w:ascii="宋体" w:hAnsi="宋体"/>
          <w:sz w:val="22"/>
          <w:szCs w:val="22"/>
          <w:highlight w:val="none"/>
        </w:rPr>
        <w:t xml:space="preserve">有害物质过程管理体系 </w:t>
      </w:r>
      <w:r>
        <w:rPr>
          <w:rFonts w:ascii="宋体" w:hAnsi="宋体"/>
          <w:sz w:val="22"/>
          <w:szCs w:val="22"/>
          <w:highlight w:val="none"/>
        </w:rPr>
        <w:t xml:space="preserve">         </w:t>
      </w:r>
      <w:r>
        <w:rPr>
          <w:rFonts w:hint="eastAsia" w:ascii="宋体" w:hAnsi="宋体"/>
          <w:sz w:val="22"/>
          <w:szCs w:val="22"/>
          <w:highlight w:val="none"/>
        </w:rPr>
        <w:t xml:space="preserve">      </w:t>
      </w:r>
      <w:r>
        <w:rPr>
          <w:rFonts w:ascii="宋体" w:hAnsi="宋体"/>
          <w:sz w:val="22"/>
          <w:szCs w:val="22"/>
          <w:highlight w:val="none"/>
        </w:rPr>
        <w:t xml:space="preserve">  </w:t>
      </w:r>
      <w:r>
        <w:rPr>
          <w:rFonts w:hint="eastAsia" w:ascii="宋体" w:hAnsi="宋体"/>
          <w:szCs w:val="21"/>
          <w:highlight w:val="none"/>
        </w:rPr>
        <w:t>IECQ Q</w:t>
      </w:r>
      <w:r>
        <w:rPr>
          <w:rFonts w:ascii="宋体" w:hAnsi="宋体"/>
          <w:szCs w:val="21"/>
          <w:highlight w:val="none"/>
        </w:rPr>
        <w:t>C080000:2017</w:t>
      </w:r>
    </w:p>
    <w:p w14:paraId="27701226">
      <w:pPr>
        <w:tabs>
          <w:tab w:val="left" w:pos="360"/>
        </w:tabs>
        <w:spacing w:before="78" w:beforeLines="25" w:after="109" w:afterLines="35" w:line="276" w:lineRule="auto"/>
        <w:ind w:firstLine="424" w:firstLineChars="193"/>
        <w:rPr>
          <w:rFonts w:hint="eastAsia" w:ascii="宋体" w:hAnsi="宋体"/>
          <w:szCs w:val="21"/>
          <w:highlight w:val="none"/>
        </w:rPr>
      </w:pPr>
      <w:permStart w:id="26" w:edGrp="everyone"/>
      <w:r>
        <w:rPr>
          <w:rFonts w:hint="eastAsia" w:ascii="宋体" w:hAnsi="宋体"/>
          <w:sz w:val="22"/>
          <w:szCs w:val="22"/>
          <w:highlight w:val="none"/>
        </w:rPr>
        <w:t>□</w:t>
      </w:r>
      <w:permEnd w:id="26"/>
      <w:r>
        <w:rPr>
          <w:rFonts w:ascii="PMingLiU" w:hAnsi="PMingLiU" w:eastAsia="PMingLiU"/>
          <w:sz w:val="22"/>
          <w:szCs w:val="22"/>
          <w:highlight w:val="none"/>
        </w:rPr>
        <w:t>ESD</w:t>
      </w:r>
      <w:r>
        <w:rPr>
          <w:rFonts w:ascii="宋体" w:hAnsi="宋体"/>
          <w:sz w:val="22"/>
          <w:szCs w:val="22"/>
          <w:highlight w:val="none"/>
        </w:rPr>
        <w:t>静电防护管理体系</w:t>
      </w:r>
      <w:r>
        <w:rPr>
          <w:rFonts w:hint="eastAsia" w:ascii="宋体" w:hAnsi="宋体"/>
          <w:sz w:val="22"/>
          <w:szCs w:val="22"/>
          <w:highlight w:val="none"/>
        </w:rPr>
        <w:t xml:space="preserve">  </w:t>
      </w:r>
      <w:r>
        <w:rPr>
          <w:rFonts w:ascii="宋体" w:hAnsi="宋体"/>
          <w:sz w:val="22"/>
          <w:szCs w:val="22"/>
          <w:highlight w:val="none"/>
        </w:rPr>
        <w:t xml:space="preserve">         </w:t>
      </w:r>
      <w:r>
        <w:rPr>
          <w:rFonts w:hint="eastAsia" w:ascii="宋体" w:hAnsi="宋体"/>
          <w:sz w:val="22"/>
          <w:szCs w:val="22"/>
          <w:highlight w:val="none"/>
        </w:rPr>
        <w:t xml:space="preserve">      </w:t>
      </w:r>
      <w:r>
        <w:rPr>
          <w:rFonts w:ascii="宋体" w:hAnsi="宋体"/>
          <w:sz w:val="22"/>
          <w:szCs w:val="22"/>
          <w:highlight w:val="none"/>
        </w:rPr>
        <w:t xml:space="preserve"> </w:t>
      </w:r>
      <w:permStart w:id="27" w:edGrp="everyone"/>
      <w:r>
        <w:rPr>
          <w:rFonts w:hint="eastAsia" w:ascii="宋体" w:hAnsi="宋体"/>
          <w:bCs/>
          <w:sz w:val="22"/>
          <w:szCs w:val="22"/>
          <w:highlight w:val="none"/>
        </w:rPr>
        <w:t>□</w:t>
      </w:r>
      <w:permEnd w:id="27"/>
      <w:r>
        <w:rPr>
          <w:rFonts w:ascii="宋体" w:hAnsi="宋体"/>
          <w:bCs/>
          <w:sz w:val="22"/>
          <w:szCs w:val="22"/>
          <w:highlight w:val="none"/>
        </w:rPr>
        <w:t xml:space="preserve"> </w:t>
      </w:r>
      <w:r>
        <w:rPr>
          <w:rFonts w:hint="eastAsia" w:ascii="宋体" w:hAnsi="宋体"/>
          <w:szCs w:val="21"/>
          <w:highlight w:val="none"/>
        </w:rPr>
        <w:t xml:space="preserve">ANSI </w:t>
      </w:r>
      <w:r>
        <w:rPr>
          <w:rFonts w:ascii="宋体" w:hAnsi="宋体"/>
          <w:szCs w:val="21"/>
          <w:highlight w:val="none"/>
        </w:rPr>
        <w:t>ESD</w:t>
      </w:r>
      <w:r>
        <w:rPr>
          <w:rFonts w:hint="eastAsia" w:ascii="宋体" w:hAnsi="宋体"/>
          <w:szCs w:val="21"/>
          <w:highlight w:val="none"/>
        </w:rPr>
        <w:t xml:space="preserve"> S20.20-20</w:t>
      </w:r>
      <w:r>
        <w:rPr>
          <w:rFonts w:ascii="宋体" w:hAnsi="宋体"/>
          <w:szCs w:val="21"/>
          <w:highlight w:val="none"/>
        </w:rPr>
        <w:t xml:space="preserve">21  </w:t>
      </w:r>
      <w:permStart w:id="28" w:edGrp="everyone"/>
      <w:r>
        <w:rPr>
          <w:rFonts w:hint="eastAsia" w:ascii="宋体" w:hAnsi="宋体"/>
          <w:bCs/>
          <w:sz w:val="22"/>
          <w:szCs w:val="22"/>
          <w:highlight w:val="none"/>
        </w:rPr>
        <w:t>□</w:t>
      </w:r>
      <w:permEnd w:id="28"/>
      <w:r>
        <w:rPr>
          <w:rFonts w:ascii="宋体" w:hAnsi="宋体"/>
          <w:bCs/>
          <w:sz w:val="22"/>
          <w:szCs w:val="22"/>
          <w:highlight w:val="none"/>
        </w:rPr>
        <w:t xml:space="preserve"> </w:t>
      </w:r>
      <w:r>
        <w:rPr>
          <w:rFonts w:hint="eastAsia" w:ascii="宋体" w:hAnsi="宋体"/>
          <w:szCs w:val="21"/>
          <w:highlight w:val="none"/>
        </w:rPr>
        <w:t>IEC61340-5-1</w:t>
      </w:r>
    </w:p>
    <w:p w14:paraId="11750910">
      <w:pPr>
        <w:tabs>
          <w:tab w:val="left" w:pos="360"/>
        </w:tabs>
        <w:spacing w:before="78" w:beforeLines="25" w:after="109" w:afterLines="35" w:line="276" w:lineRule="auto"/>
        <w:ind w:firstLine="424" w:firstLineChars="193"/>
        <w:rPr>
          <w:rFonts w:hint="eastAsia" w:ascii="宋体" w:hAnsi="宋体"/>
          <w:sz w:val="22"/>
          <w:szCs w:val="22"/>
          <w:highlight w:val="none"/>
        </w:rPr>
      </w:pPr>
      <w:permStart w:id="29" w:edGrp="everyone"/>
      <w:r>
        <w:rPr>
          <w:rFonts w:hint="eastAsia" w:ascii="宋体" w:hAnsi="宋体"/>
          <w:sz w:val="22"/>
          <w:szCs w:val="22"/>
          <w:highlight w:val="none"/>
        </w:rPr>
        <w:t>□</w:t>
      </w:r>
      <w:permEnd w:id="29"/>
      <w:r>
        <w:rPr>
          <w:rFonts w:hint="eastAsia" w:ascii="宋体" w:hAnsi="宋体"/>
          <w:sz w:val="22"/>
          <w:szCs w:val="22"/>
          <w:highlight w:val="none"/>
        </w:rPr>
        <w:t xml:space="preserve">航空航天与国防组织质量管理体系 </w:t>
      </w:r>
      <w:r>
        <w:rPr>
          <w:rFonts w:ascii="宋体" w:hAnsi="宋体"/>
          <w:sz w:val="22"/>
          <w:szCs w:val="22"/>
          <w:highlight w:val="none"/>
        </w:rPr>
        <w:t xml:space="preserve">       AS9100</w:t>
      </w:r>
      <w:r>
        <w:rPr>
          <w:rFonts w:hint="eastAsia" w:ascii="宋体" w:hAnsi="宋体"/>
          <w:sz w:val="22"/>
          <w:szCs w:val="22"/>
          <w:highlight w:val="none"/>
          <w:lang w:eastAsia="zh-CN"/>
        </w:rPr>
        <w:t>：</w:t>
      </w:r>
      <w:r>
        <w:rPr>
          <w:rFonts w:hint="eastAsia" w:ascii="宋体" w:hAnsi="宋体"/>
          <w:sz w:val="22"/>
          <w:szCs w:val="22"/>
          <w:highlight w:val="none"/>
          <w:lang w:val="en-US" w:eastAsia="zh-CN"/>
        </w:rPr>
        <w:t>2016</w:t>
      </w:r>
    </w:p>
    <w:p w14:paraId="51E95958">
      <w:pPr>
        <w:tabs>
          <w:tab w:val="left" w:pos="360"/>
        </w:tabs>
        <w:spacing w:before="78" w:beforeLines="25" w:after="109" w:afterLines="35" w:line="276" w:lineRule="auto"/>
        <w:ind w:firstLine="424" w:firstLineChars="193"/>
        <w:rPr>
          <w:rFonts w:hint="eastAsia" w:ascii="宋体" w:hAnsi="宋体"/>
          <w:bCs/>
          <w:sz w:val="22"/>
          <w:szCs w:val="22"/>
          <w:highlight w:val="none"/>
        </w:rPr>
      </w:pPr>
      <w:permStart w:id="30" w:edGrp="everyone"/>
      <w:r>
        <w:rPr>
          <w:rFonts w:hint="eastAsia" w:ascii="宋体" w:hAnsi="宋体"/>
          <w:bCs/>
          <w:sz w:val="22"/>
          <w:szCs w:val="22"/>
          <w:highlight w:val="none"/>
        </w:rPr>
        <w:t>□</w:t>
      </w:r>
      <w:permEnd w:id="30"/>
      <w:r>
        <w:rPr>
          <w:rFonts w:hint="eastAsia" w:ascii="宋体" w:hAnsi="宋体"/>
          <w:bCs/>
          <w:sz w:val="22"/>
          <w:szCs w:val="22"/>
          <w:highlight w:val="none"/>
        </w:rPr>
        <w:t>航空航天与国防经销商质量管理体系</w:t>
      </w:r>
      <w:r>
        <w:rPr>
          <w:rFonts w:hint="eastAsia" w:ascii="宋体" w:hAnsi="宋体"/>
          <w:bCs/>
          <w:sz w:val="22"/>
          <w:szCs w:val="22"/>
          <w:highlight w:val="none"/>
          <w:lang w:val="en-US" w:eastAsia="zh-CN"/>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AS9120</w:t>
      </w:r>
      <w:r>
        <w:rPr>
          <w:rFonts w:hint="eastAsia" w:ascii="宋体" w:hAnsi="宋体"/>
          <w:bCs/>
          <w:sz w:val="22"/>
          <w:szCs w:val="22"/>
          <w:highlight w:val="none"/>
          <w:lang w:val="en-US" w:eastAsia="zh-CN"/>
        </w:rPr>
        <w:t>:2016</w:t>
      </w:r>
    </w:p>
    <w:p w14:paraId="62ED18A8">
      <w:pPr>
        <w:tabs>
          <w:tab w:val="left" w:pos="360"/>
        </w:tabs>
        <w:spacing w:before="78" w:beforeLines="25" w:after="109" w:afterLines="35" w:line="276" w:lineRule="auto"/>
        <w:ind w:firstLine="424" w:firstLineChars="193"/>
        <w:rPr>
          <w:rFonts w:hint="default" w:ascii="宋体" w:hAnsi="宋体" w:eastAsia="宋体"/>
          <w:bCs/>
          <w:sz w:val="22"/>
          <w:szCs w:val="22"/>
          <w:highlight w:val="none"/>
          <w:lang w:val="en-US" w:eastAsia="zh-CN"/>
        </w:rPr>
      </w:pPr>
      <w:permStart w:id="31" w:edGrp="everyone"/>
      <w:r>
        <w:rPr>
          <w:rFonts w:hint="eastAsia" w:ascii="宋体" w:hAnsi="宋体"/>
          <w:bCs/>
          <w:sz w:val="22"/>
          <w:szCs w:val="22"/>
          <w:highlight w:val="none"/>
        </w:rPr>
        <w:t>□</w:t>
      </w:r>
      <w:permEnd w:id="31"/>
      <w:r>
        <w:rPr>
          <w:rFonts w:hint="eastAsia" w:ascii="宋体" w:hAnsi="宋体"/>
          <w:bCs/>
          <w:sz w:val="22"/>
          <w:szCs w:val="22"/>
          <w:highlight w:val="none"/>
        </w:rPr>
        <w:t>航空</w:t>
      </w:r>
      <w:r>
        <w:rPr>
          <w:rFonts w:hint="eastAsia" w:ascii="宋体" w:hAnsi="宋体"/>
          <w:bCs/>
          <w:sz w:val="22"/>
          <w:szCs w:val="22"/>
          <w:highlight w:val="none"/>
          <w:lang w:val="en-US" w:eastAsia="zh-CN"/>
        </w:rPr>
        <w:t>电子</w:t>
      </w:r>
      <w:r>
        <w:rPr>
          <w:rFonts w:hint="eastAsia" w:ascii="宋体" w:hAnsi="宋体"/>
          <w:bCs/>
          <w:sz w:val="22"/>
          <w:szCs w:val="22"/>
          <w:highlight w:val="none"/>
        </w:rPr>
        <w:t xml:space="preserve">零部件可靠性质量管理体系      </w:t>
      </w:r>
      <w:r>
        <w:rPr>
          <w:rFonts w:ascii="宋体" w:hAnsi="宋体"/>
          <w:bCs/>
          <w:sz w:val="22"/>
          <w:szCs w:val="22"/>
          <w:highlight w:val="none"/>
        </w:rPr>
        <w:t>AS</w:t>
      </w:r>
      <w:r>
        <w:rPr>
          <w:rFonts w:hint="eastAsia" w:ascii="宋体" w:hAnsi="宋体"/>
          <w:bCs/>
          <w:sz w:val="22"/>
          <w:szCs w:val="22"/>
          <w:highlight w:val="none"/>
        </w:rPr>
        <w:t>6081</w:t>
      </w:r>
      <w:r>
        <w:rPr>
          <w:rFonts w:hint="eastAsia" w:ascii="宋体" w:hAnsi="宋体"/>
          <w:bCs/>
          <w:sz w:val="22"/>
          <w:szCs w:val="22"/>
          <w:highlight w:val="none"/>
          <w:lang w:val="en-US" w:eastAsia="zh-CN"/>
        </w:rPr>
        <w:t>:2012</w:t>
      </w:r>
    </w:p>
    <w:p w14:paraId="00155718">
      <w:pPr>
        <w:tabs>
          <w:tab w:val="left" w:pos="360"/>
        </w:tabs>
        <w:spacing w:before="78" w:beforeLines="25" w:after="109" w:afterLines="35" w:line="276" w:lineRule="auto"/>
        <w:ind w:firstLine="424" w:firstLineChars="193"/>
        <w:rPr>
          <w:rFonts w:hint="eastAsia" w:ascii="宋体" w:hAnsi="宋体"/>
          <w:sz w:val="22"/>
          <w:szCs w:val="22"/>
          <w:highlight w:val="none"/>
        </w:rPr>
      </w:pPr>
      <w:permStart w:id="32" w:edGrp="everyone"/>
      <w:r>
        <w:rPr>
          <w:rFonts w:hint="eastAsia" w:ascii="宋体" w:hAnsi="宋体"/>
          <w:bCs/>
          <w:sz w:val="22"/>
          <w:szCs w:val="22"/>
          <w:highlight w:val="none"/>
        </w:rPr>
        <w:t>□</w:t>
      </w:r>
      <w:permEnd w:id="32"/>
      <w:r>
        <w:rPr>
          <w:rFonts w:hint="eastAsia" w:ascii="宋体" w:hAnsi="宋体"/>
          <w:sz w:val="22"/>
          <w:szCs w:val="22"/>
          <w:highlight w:val="none"/>
        </w:rPr>
        <w:t xml:space="preserve">通讯行业质量管理体系 </w:t>
      </w:r>
      <w:r>
        <w:rPr>
          <w:rFonts w:ascii="宋体" w:hAnsi="宋体"/>
          <w:sz w:val="22"/>
          <w:szCs w:val="22"/>
          <w:highlight w:val="none"/>
        </w:rPr>
        <w:t xml:space="preserve">         </w:t>
      </w:r>
      <w:r>
        <w:rPr>
          <w:rFonts w:hint="eastAsia" w:ascii="宋体" w:hAnsi="宋体"/>
          <w:sz w:val="22"/>
          <w:szCs w:val="22"/>
          <w:highlight w:val="none"/>
        </w:rPr>
        <w:t xml:space="preserve">       </w:t>
      </w:r>
      <w:r>
        <w:rPr>
          <w:rFonts w:ascii="宋体" w:hAnsi="宋体"/>
          <w:sz w:val="22"/>
          <w:szCs w:val="22"/>
          <w:highlight w:val="none"/>
        </w:rPr>
        <w:t xml:space="preserve"> TL9000:2016</w:t>
      </w:r>
    </w:p>
    <w:p w14:paraId="4DBAEA31">
      <w:pPr>
        <w:tabs>
          <w:tab w:val="left" w:pos="360"/>
        </w:tabs>
        <w:spacing w:before="78" w:beforeLines="25" w:after="109" w:afterLines="35" w:line="276" w:lineRule="auto"/>
        <w:ind w:firstLine="424" w:firstLineChars="193"/>
        <w:rPr>
          <w:rFonts w:hint="eastAsia" w:ascii="宋体" w:hAnsi="宋体"/>
          <w:b/>
          <w:sz w:val="22"/>
          <w:szCs w:val="22"/>
          <w:highlight w:val="none"/>
        </w:rPr>
      </w:pPr>
      <w:permStart w:id="33" w:edGrp="everyone"/>
      <w:r>
        <w:rPr>
          <w:rFonts w:hint="eastAsia" w:ascii="宋体" w:hAnsi="宋体"/>
          <w:sz w:val="22"/>
          <w:szCs w:val="22"/>
          <w:highlight w:val="none"/>
        </w:rPr>
        <w:t>□</w:t>
      </w:r>
      <w:permEnd w:id="33"/>
      <w:r>
        <w:rPr>
          <w:rFonts w:hint="eastAsia" w:ascii="宋体" w:hAnsi="宋体"/>
          <w:sz w:val="22"/>
          <w:szCs w:val="22"/>
          <w:highlight w:val="none"/>
        </w:rPr>
        <w:t>其他</w:t>
      </w:r>
      <w:permStart w:id="34" w:edGrp="everyone"/>
      <w:r>
        <w:rPr>
          <w:rFonts w:hint="eastAsia" w:ascii="宋体" w:hAnsi="宋体"/>
          <w:bCs/>
          <w:sz w:val="22"/>
          <w:szCs w:val="22"/>
          <w:highlight w:val="none"/>
          <w:u w:val="single"/>
        </w:rPr>
        <w:t xml:space="preserve">               </w:t>
      </w:r>
      <w:permEnd w:id="34"/>
    </w:p>
    <w:p w14:paraId="16B735AB">
      <w:pPr>
        <w:spacing w:before="78" w:beforeLines="25" w:after="109" w:afterLines="35" w:line="276" w:lineRule="auto"/>
        <w:ind w:firstLine="440" w:firstLineChars="200"/>
        <w:rPr>
          <w:rFonts w:hint="eastAsia" w:ascii="宋体" w:hAnsi="宋体"/>
          <w:sz w:val="22"/>
          <w:szCs w:val="22"/>
          <w:highlight w:val="none"/>
        </w:rPr>
      </w:pPr>
      <w:r>
        <w:rPr>
          <w:rFonts w:hint="eastAsia" w:ascii="宋体" w:hAnsi="宋体"/>
          <w:sz w:val="22"/>
          <w:szCs w:val="22"/>
          <w:highlight w:val="none"/>
        </w:rPr>
        <w:t>甲方建立管理体系的依据、申请认证的类型以及申请的认可标识等详细信息参见相应管理体系的认证申请书。</w:t>
      </w:r>
    </w:p>
    <w:p w14:paraId="0D929666">
      <w:pPr>
        <w:numPr>
          <w:ilvl w:val="0"/>
          <w:numId w:val="2"/>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拟申请认证的管理体系覆盖的范围：</w:t>
      </w:r>
      <w:permStart w:id="35" w:edGrp="everyone"/>
      <w:r>
        <w:rPr>
          <w:rFonts w:hint="eastAsia" w:ascii="宋体" w:hAnsi="宋体"/>
          <w:bCs/>
          <w:sz w:val="22"/>
          <w:szCs w:val="22"/>
          <w:highlight w:val="none"/>
          <w:u w:val="single"/>
        </w:rPr>
        <w:t xml:space="preserve">                               </w:t>
      </w:r>
      <w:r>
        <w:rPr>
          <w:rFonts w:ascii="宋体" w:hAnsi="宋体"/>
          <w:bCs/>
          <w:sz w:val="22"/>
          <w:szCs w:val="22"/>
          <w:highlight w:val="none"/>
          <w:u w:val="single"/>
        </w:rPr>
        <w:t xml:space="preserve">       </w:t>
      </w:r>
      <w:r>
        <w:rPr>
          <w:rFonts w:hint="eastAsia" w:ascii="宋体" w:hAnsi="宋体"/>
          <w:bCs/>
          <w:sz w:val="22"/>
          <w:szCs w:val="22"/>
          <w:highlight w:val="none"/>
          <w:u w:val="single"/>
        </w:rPr>
        <w:t xml:space="preserve">  </w:t>
      </w:r>
      <w:r>
        <w:rPr>
          <w:rFonts w:ascii="宋体" w:hAnsi="宋体"/>
          <w:bCs/>
          <w:sz w:val="22"/>
          <w:szCs w:val="22"/>
          <w:highlight w:val="none"/>
          <w:u w:val="single"/>
        </w:rPr>
        <w:t xml:space="preserve">  </w:t>
      </w:r>
      <w:r>
        <w:rPr>
          <w:rFonts w:hint="eastAsia" w:ascii="宋体" w:hAnsi="宋体"/>
          <w:bCs/>
          <w:sz w:val="22"/>
          <w:szCs w:val="22"/>
          <w:highlight w:val="none"/>
          <w:u w:val="single"/>
        </w:rPr>
        <w:t xml:space="preserve">       </w:t>
      </w:r>
    </w:p>
    <w:p w14:paraId="4BA08026">
      <w:pPr>
        <w:spacing w:before="78" w:beforeLines="25" w:after="109" w:afterLines="35" w:line="276" w:lineRule="auto"/>
        <w:rPr>
          <w:rFonts w:hint="eastAsia" w:ascii="宋体" w:hAnsi="宋体"/>
          <w:bCs/>
          <w:sz w:val="22"/>
          <w:szCs w:val="22"/>
          <w:highlight w:val="none"/>
          <w:u w:val="single"/>
        </w:rPr>
      </w:pPr>
      <w:r>
        <w:rPr>
          <w:rFonts w:hint="eastAsia" w:ascii="宋体" w:hAnsi="宋体"/>
          <w:bCs/>
          <w:sz w:val="22"/>
          <w:szCs w:val="22"/>
          <w:highlight w:val="none"/>
          <w:u w:val="single"/>
        </w:rPr>
        <w:t xml:space="preserve">                                                                    </w:t>
      </w:r>
      <w:r>
        <w:rPr>
          <w:rFonts w:ascii="宋体" w:hAnsi="宋体"/>
          <w:bCs/>
          <w:sz w:val="22"/>
          <w:szCs w:val="22"/>
          <w:highlight w:val="none"/>
          <w:u w:val="single"/>
        </w:rPr>
        <w:t xml:space="preserve">     </w:t>
      </w:r>
      <w:r>
        <w:rPr>
          <w:rFonts w:hint="eastAsia" w:ascii="宋体" w:hAnsi="宋体"/>
          <w:bCs/>
          <w:sz w:val="22"/>
          <w:szCs w:val="22"/>
          <w:highlight w:val="none"/>
          <w:u w:val="single"/>
        </w:rPr>
        <w:t xml:space="preserve">            </w:t>
      </w:r>
    </w:p>
    <w:p w14:paraId="67611B60">
      <w:pPr>
        <w:spacing w:before="78" w:beforeLines="25" w:after="109" w:afterLines="35" w:line="276" w:lineRule="auto"/>
        <w:rPr>
          <w:rFonts w:hint="eastAsia" w:ascii="宋体" w:hAnsi="宋体"/>
          <w:sz w:val="22"/>
          <w:szCs w:val="22"/>
          <w:highlight w:val="none"/>
        </w:rPr>
      </w:pPr>
      <w:r>
        <w:rPr>
          <w:rFonts w:hint="eastAsia" w:ascii="宋体" w:hAnsi="宋体"/>
          <w:bCs/>
          <w:sz w:val="22"/>
          <w:szCs w:val="22"/>
          <w:highlight w:val="none"/>
          <w:u w:val="single"/>
        </w:rPr>
        <w:t xml:space="preserve">                                                                  </w:t>
      </w:r>
      <w:r>
        <w:rPr>
          <w:rFonts w:ascii="宋体" w:hAnsi="宋体"/>
          <w:bCs/>
          <w:sz w:val="22"/>
          <w:szCs w:val="22"/>
          <w:highlight w:val="none"/>
          <w:u w:val="single"/>
        </w:rPr>
        <w:t xml:space="preserve">      </w:t>
      </w:r>
      <w:r>
        <w:rPr>
          <w:rFonts w:hint="eastAsia" w:ascii="宋体" w:hAnsi="宋体"/>
          <w:bCs/>
          <w:sz w:val="22"/>
          <w:szCs w:val="22"/>
          <w:highlight w:val="none"/>
          <w:u w:val="single"/>
        </w:rPr>
        <w:t xml:space="preserve">             </w:t>
      </w:r>
      <w:permEnd w:id="35"/>
    </w:p>
    <w:p w14:paraId="13642F75">
      <w:pPr>
        <w:spacing w:before="78" w:beforeLines="25" w:after="109" w:afterLines="35" w:line="276" w:lineRule="auto"/>
        <w:ind w:firstLine="402" w:firstLineChars="200"/>
        <w:rPr>
          <w:rFonts w:hint="eastAsia" w:ascii="宋体" w:hAnsi="宋体"/>
          <w:b/>
          <w:sz w:val="20"/>
          <w:szCs w:val="22"/>
          <w:highlight w:val="none"/>
        </w:rPr>
      </w:pPr>
      <w:r>
        <w:rPr>
          <w:rFonts w:hint="eastAsia" w:ascii="宋体" w:hAnsi="宋体"/>
          <w:b/>
          <w:sz w:val="20"/>
          <w:szCs w:val="22"/>
          <w:highlight w:val="none"/>
        </w:rPr>
        <w:t>注：认证证书中的认证范围、过程等内容将以现场审核最终确认的内容为准。</w:t>
      </w:r>
    </w:p>
    <w:p w14:paraId="057D5F78">
      <w:pPr>
        <w:numPr>
          <w:ilvl w:val="0"/>
          <w:numId w:val="2"/>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甲方管理体系覆盖的总人数：</w:t>
      </w:r>
      <w:permStart w:id="36" w:edGrp="everyone"/>
      <w:r>
        <w:rPr>
          <w:rFonts w:hint="eastAsia" w:ascii="宋体" w:hAnsi="宋体"/>
          <w:bCs/>
          <w:sz w:val="22"/>
          <w:szCs w:val="22"/>
          <w:highlight w:val="none"/>
          <w:u w:val="single"/>
        </w:rPr>
        <w:t xml:space="preserve">          </w:t>
      </w:r>
      <w:permEnd w:id="36"/>
      <w:r>
        <w:rPr>
          <w:rFonts w:hint="eastAsia" w:ascii="宋体" w:hAnsi="宋体"/>
          <w:bCs/>
          <w:sz w:val="22"/>
          <w:szCs w:val="22"/>
          <w:highlight w:val="none"/>
        </w:rPr>
        <w:t>，甲方总人数：</w:t>
      </w:r>
      <w:permStart w:id="37" w:edGrp="everyone"/>
      <w:r>
        <w:rPr>
          <w:rFonts w:hint="eastAsia" w:ascii="宋体" w:hAnsi="宋体"/>
          <w:bCs/>
          <w:sz w:val="22"/>
          <w:szCs w:val="22"/>
          <w:highlight w:val="none"/>
          <w:u w:val="single"/>
        </w:rPr>
        <w:t xml:space="preserve">          </w:t>
      </w:r>
      <w:permEnd w:id="37"/>
      <w:r>
        <w:rPr>
          <w:rFonts w:hint="eastAsia" w:ascii="宋体" w:hAnsi="宋体"/>
          <w:bCs/>
          <w:sz w:val="22"/>
          <w:szCs w:val="22"/>
          <w:highlight w:val="none"/>
        </w:rPr>
        <w:t>。</w:t>
      </w:r>
    </w:p>
    <w:p w14:paraId="35C42868">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管理体系认证项目的实施</w:t>
      </w:r>
    </w:p>
    <w:p w14:paraId="414EDEE5">
      <w:pPr>
        <w:numPr>
          <w:ilvl w:val="0"/>
          <w:numId w:val="3"/>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乙方按认证程序对甲方进行认证审核，在确认管理体系符合合同约定的审核依据后，为甲方办理认证注册，颁发或换发管理体系认证证书。</w:t>
      </w:r>
    </w:p>
    <w:p w14:paraId="09C9CB1D">
      <w:pPr>
        <w:numPr>
          <w:ilvl w:val="0"/>
          <w:numId w:val="3"/>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甲方在乙方《审核计划》上的签字</w:t>
      </w:r>
      <w:r>
        <w:rPr>
          <w:rFonts w:hint="eastAsia" w:ascii="宋体" w:hAnsi="宋体"/>
          <w:bCs/>
          <w:sz w:val="22"/>
          <w:szCs w:val="22"/>
          <w:highlight w:val="none"/>
          <w:lang w:val="en-US" w:eastAsia="zh-CN"/>
        </w:rPr>
        <w:t>或</w:t>
      </w:r>
      <w:r>
        <w:rPr>
          <w:rFonts w:hint="eastAsia" w:ascii="宋体" w:hAnsi="宋体"/>
          <w:bCs/>
          <w:sz w:val="22"/>
          <w:szCs w:val="22"/>
          <w:highlight w:val="none"/>
        </w:rPr>
        <w:t>盖章作为对合同履行的确认。</w:t>
      </w:r>
    </w:p>
    <w:p w14:paraId="1D81DBCC">
      <w:pPr>
        <w:numPr>
          <w:ilvl w:val="0"/>
          <w:numId w:val="3"/>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现场审核应在甲方管理体系覆盖的活动处于正常运行期间进行，其中：</w:t>
      </w:r>
    </w:p>
    <w:p w14:paraId="19D9E6CC">
      <w:pPr>
        <w:numPr>
          <w:ilvl w:val="0"/>
          <w:numId w:val="4"/>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初审：第一阶段审核前，管理体系有效运行不少于3个月。对于生产植入性医疗器械的申请组织的质量管理体系有效运行不少于6个月。如果初次二阶段审核结束后6个月内不能对严重不符合的纠正及纠正措施进行有效验证，则应在推荐认证前再实施一次二阶段审核。</w:t>
      </w:r>
    </w:p>
    <w:p w14:paraId="5777D0BD">
      <w:pPr>
        <w:numPr>
          <w:ilvl w:val="0"/>
          <w:numId w:val="4"/>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监督审核：</w:t>
      </w:r>
    </w:p>
    <w:p w14:paraId="3676FE8D">
      <w:pPr>
        <w:numPr>
          <w:ilvl w:val="0"/>
          <w:numId w:val="5"/>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第一次监督审核建议在第二阶段审核或再认证审核最后一天起10-12个月内进行，最晚应在</w:t>
      </w:r>
      <w:r>
        <w:rPr>
          <w:rFonts w:ascii="宋体" w:hAnsi="宋体"/>
          <w:bCs/>
          <w:sz w:val="22"/>
          <w:szCs w:val="22"/>
          <w:highlight w:val="none"/>
        </w:rPr>
        <w:t>认证决定日期</w:t>
      </w:r>
      <w:r>
        <w:rPr>
          <w:rFonts w:hint="eastAsia" w:ascii="宋体" w:hAnsi="宋体"/>
          <w:bCs/>
          <w:sz w:val="22"/>
          <w:szCs w:val="22"/>
          <w:highlight w:val="none"/>
        </w:rPr>
        <w:t>起12个月内进行；第二次监督审核应在第一次监督审核最后一天起12个月内进行。当甲方因停产、搬迁等原因不能在12个月之内进行相应的监督审核时，至少应在每个日历年进行一次监督审核，两次监督审核的时间间隔不得超过15个月</w:t>
      </w:r>
      <w:r>
        <w:rPr>
          <w:rFonts w:hint="eastAsia" w:ascii="宋体" w:hAnsi="宋体"/>
          <w:bCs/>
          <w:sz w:val="22"/>
          <w:szCs w:val="22"/>
          <w:highlight w:val="none"/>
          <w:lang w:eastAsia="zh-CN"/>
        </w:rPr>
        <w:t>；</w:t>
      </w:r>
    </w:p>
    <w:p w14:paraId="2A8FB814">
      <w:pPr>
        <w:numPr>
          <w:ilvl w:val="-1"/>
          <w:numId w:val="0"/>
        </w:numPr>
        <w:spacing w:before="78" w:beforeLines="25" w:after="109" w:afterLines="35" w:line="276" w:lineRule="auto"/>
        <w:ind w:left="819" w:leftChars="390" w:firstLine="0" w:firstLineChars="0"/>
        <w:rPr>
          <w:rFonts w:hint="eastAsia" w:ascii="宋体" w:hAnsi="宋体"/>
          <w:b/>
          <w:bCs w:val="0"/>
          <w:sz w:val="20"/>
          <w:szCs w:val="22"/>
          <w:highlight w:val="none"/>
        </w:rPr>
      </w:pPr>
      <w:r>
        <w:rPr>
          <w:rFonts w:hint="eastAsia" w:ascii="宋体" w:hAnsi="宋体"/>
          <w:b/>
          <w:bCs w:val="0"/>
          <w:sz w:val="20"/>
          <w:szCs w:val="22"/>
          <w:highlight w:val="none"/>
          <w:lang w:val="en-US" w:eastAsia="zh-CN"/>
        </w:rPr>
        <w:t>注：ISO9001</w:t>
      </w:r>
      <w:r>
        <w:rPr>
          <w:rFonts w:hint="eastAsia" w:ascii="宋体" w:hAnsi="宋体"/>
          <w:b/>
          <w:bCs w:val="0"/>
          <w:sz w:val="20"/>
          <w:szCs w:val="22"/>
          <w:highlight w:val="none"/>
        </w:rPr>
        <w:t>质量管理体系</w:t>
      </w:r>
      <w:r>
        <w:rPr>
          <w:rFonts w:hint="eastAsia" w:ascii="宋体" w:hAnsi="宋体"/>
          <w:b/>
          <w:bCs w:val="0"/>
          <w:sz w:val="20"/>
          <w:szCs w:val="22"/>
          <w:highlight w:val="none"/>
          <w:lang w:val="en-US" w:eastAsia="zh-CN"/>
        </w:rPr>
        <w:t>、ISO14001环境管理体系、ISO45001职业健康管理体系、ISO27001信息安全管理体系、ISO20000信息技术服务管理体系</w:t>
      </w:r>
      <w:r>
        <w:rPr>
          <w:rFonts w:hint="eastAsia" w:ascii="宋体" w:hAnsi="宋体"/>
          <w:b/>
          <w:sz w:val="20"/>
          <w:szCs w:val="22"/>
          <w:highlight w:val="none"/>
        </w:rPr>
        <w:t>初次认证及再认证后的第一次监督审核应在认证证书签发之日起12 个月内进行</w:t>
      </w:r>
      <w:r>
        <w:rPr>
          <w:rFonts w:hint="eastAsia" w:ascii="宋体" w:hAnsi="宋体"/>
          <w:b/>
          <w:sz w:val="20"/>
          <w:szCs w:val="22"/>
          <w:highlight w:val="none"/>
          <w:lang w:eastAsia="zh-CN"/>
        </w:rPr>
        <w:t>，</w:t>
      </w:r>
      <w:r>
        <w:rPr>
          <w:rFonts w:hint="eastAsia" w:ascii="宋体" w:hAnsi="宋体"/>
          <w:b/>
          <w:sz w:val="20"/>
          <w:szCs w:val="22"/>
          <w:highlight w:val="none"/>
          <w:lang w:val="en-US" w:eastAsia="zh-CN"/>
        </w:rPr>
        <w:t>第二次监督应在认证证书签发之日起24个月内实施</w:t>
      </w:r>
      <w:r>
        <w:rPr>
          <w:rFonts w:hint="eastAsia" w:ascii="宋体" w:hAnsi="宋体"/>
          <w:b/>
          <w:sz w:val="20"/>
          <w:szCs w:val="22"/>
          <w:highlight w:val="none"/>
        </w:rPr>
        <w:t>。此后，监督审核间隔不应超过12个月</w:t>
      </w:r>
      <w:r>
        <w:rPr>
          <w:rFonts w:hint="eastAsia" w:ascii="宋体" w:hAnsi="宋体"/>
          <w:b/>
          <w:sz w:val="20"/>
          <w:szCs w:val="22"/>
          <w:highlight w:val="none"/>
          <w:lang w:eastAsia="zh-CN"/>
        </w:rPr>
        <w:t>，</w:t>
      </w:r>
      <w:r>
        <w:rPr>
          <w:rFonts w:hint="eastAsia" w:ascii="宋体" w:hAnsi="宋体"/>
          <w:b/>
          <w:sz w:val="20"/>
          <w:szCs w:val="22"/>
          <w:highlight w:val="none"/>
          <w:lang w:val="en-US" w:eastAsia="zh-CN"/>
        </w:rPr>
        <w:t>且</w:t>
      </w:r>
      <w:r>
        <w:rPr>
          <w:rFonts w:hint="eastAsia" w:ascii="宋体" w:hAnsi="宋体"/>
          <w:b/>
          <w:bCs w:val="0"/>
          <w:sz w:val="20"/>
          <w:szCs w:val="22"/>
          <w:highlight w:val="none"/>
        </w:rPr>
        <w:t>至少应在每个日历年进行一次监督审核</w:t>
      </w:r>
      <w:r>
        <w:rPr>
          <w:rFonts w:hint="eastAsia" w:ascii="宋体" w:hAnsi="宋体"/>
          <w:b/>
          <w:sz w:val="20"/>
          <w:szCs w:val="22"/>
          <w:highlight w:val="none"/>
        </w:rPr>
        <w:t>。</w:t>
      </w:r>
    </w:p>
    <w:p w14:paraId="6695B3CD">
      <w:pPr>
        <w:numPr>
          <w:ilvl w:val="0"/>
          <w:numId w:val="5"/>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若甲方未按期接受乙方的监督审核，甲方依据相关规定应暂停使用认证证书及标识；</w:t>
      </w:r>
    </w:p>
    <w:p w14:paraId="181FA5D4">
      <w:pPr>
        <w:numPr>
          <w:ilvl w:val="0"/>
          <w:numId w:val="5"/>
        </w:numPr>
        <w:spacing w:before="78" w:beforeLines="25" w:after="109" w:afterLines="35" w:line="276" w:lineRule="auto"/>
        <w:rPr>
          <w:rFonts w:hint="eastAsia" w:ascii="宋体" w:hAnsi="宋体"/>
          <w:bCs/>
          <w:sz w:val="22"/>
          <w:szCs w:val="22"/>
          <w:highlight w:val="none"/>
        </w:rPr>
      </w:pPr>
      <w:r>
        <w:rPr>
          <w:rFonts w:ascii="宋体" w:hAnsi="宋体"/>
          <w:bCs/>
          <w:sz w:val="22"/>
          <w:szCs w:val="22"/>
          <w:highlight w:val="none"/>
        </w:rPr>
        <w:t>ESD项目不涉及监督审核，故该条款不适用</w:t>
      </w:r>
      <w:r>
        <w:rPr>
          <w:rFonts w:hint="eastAsia" w:ascii="宋体" w:hAnsi="宋体"/>
          <w:bCs/>
          <w:sz w:val="22"/>
          <w:szCs w:val="22"/>
          <w:highlight w:val="none"/>
        </w:rPr>
        <w:t>。</w:t>
      </w:r>
    </w:p>
    <w:p w14:paraId="11296E24">
      <w:pPr>
        <w:pStyle w:val="13"/>
        <w:numPr>
          <w:ilvl w:val="0"/>
          <w:numId w:val="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再认证：</w:t>
      </w:r>
    </w:p>
    <w:p w14:paraId="7D73106C">
      <w:pPr>
        <w:numPr>
          <w:ilvl w:val="0"/>
          <w:numId w:val="6"/>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应在认证证书有效期期满前进行，且甲方应至少在认证证书到期前3个月按照本合同要求提出书面申请、签订再认证审核合同、接受现场审核、缴纳认证费用并应确保符合认证条件以确保完成认证批准。因甲方未按期履行前述义务而导致认证无法批准的，乙方不承担任何责任。再认证审核的结束日期不能超过当前认证终止日期，若质量管理体系再认证审核开具了严重不符合项，则甲方应确保在证书终止日期前完成整改、并经过乙方验证关闭，否则须再进行一次二阶段审核，此类情形产生的认证审核费用，由甲、乙双方通过补充协议进行约定；</w:t>
      </w:r>
    </w:p>
    <w:p w14:paraId="424A0C06">
      <w:pPr>
        <w:numPr>
          <w:ilvl w:val="0"/>
          <w:numId w:val="6"/>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若甲方未按期接受乙方的再认证审核，甲方应依据相关规定停止使用认证证书及标识，乙方将在认证证书到期日对甲方该认证证书办理注销手续，甲方应承担和接受认证证书注销的风险和后果。</w:t>
      </w:r>
    </w:p>
    <w:p w14:paraId="2DBC27B5">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项目费用（人民币）</w:t>
      </w:r>
    </w:p>
    <w:p w14:paraId="264C2951">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甲方应向乙方交付以下费用，乙方于收到甲方全部款项后，向甲方出具相关发票。</w:t>
      </w:r>
    </w:p>
    <w:p w14:paraId="52D9C4BE">
      <w:pPr>
        <w:numPr>
          <w:ilvl w:val="0"/>
          <w:numId w:val="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初次认证费用（含中英文正本证书一套）：               计 </w:t>
      </w:r>
      <w:permStart w:id="38" w:edGrp="everyone"/>
      <w:r>
        <w:rPr>
          <w:rFonts w:hint="eastAsia" w:ascii="宋体" w:hAnsi="宋体"/>
          <w:bCs/>
          <w:sz w:val="22"/>
          <w:szCs w:val="22"/>
          <w:highlight w:val="none"/>
          <w:u w:val="single"/>
        </w:rPr>
        <w:t xml:space="preserve">             </w:t>
      </w:r>
      <w:permEnd w:id="38"/>
      <w:r>
        <w:rPr>
          <w:rFonts w:hint="eastAsia" w:ascii="宋体" w:hAnsi="宋体"/>
          <w:bCs/>
          <w:sz w:val="22"/>
          <w:szCs w:val="22"/>
          <w:highlight w:val="none"/>
        </w:rPr>
        <w:t xml:space="preserve"> 元</w:t>
      </w:r>
    </w:p>
    <w:p w14:paraId="075D8F55">
      <w:pPr>
        <w:numPr>
          <w:ilvl w:val="0"/>
          <w:numId w:val="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每年保持证书费用； </w:t>
      </w:r>
      <w:r>
        <w:rPr>
          <w:rFonts w:ascii="宋体" w:hAnsi="宋体"/>
          <w:bCs/>
          <w:sz w:val="22"/>
          <w:szCs w:val="22"/>
          <w:highlight w:val="none"/>
        </w:rPr>
        <w:t xml:space="preserve">                                 </w:t>
      </w:r>
      <w:r>
        <w:rPr>
          <w:rFonts w:hint="eastAsia" w:ascii="宋体" w:hAnsi="宋体"/>
          <w:bCs/>
          <w:sz w:val="22"/>
          <w:szCs w:val="22"/>
          <w:highlight w:val="none"/>
        </w:rPr>
        <w:t xml:space="preserve">计 </w:t>
      </w:r>
      <w:permStart w:id="39" w:edGrp="everyone"/>
      <w:r>
        <w:rPr>
          <w:rFonts w:hint="eastAsia" w:ascii="宋体" w:hAnsi="宋体"/>
          <w:bCs/>
          <w:sz w:val="22"/>
          <w:szCs w:val="22"/>
          <w:highlight w:val="none"/>
          <w:u w:val="single"/>
        </w:rPr>
        <w:t xml:space="preserve">             </w:t>
      </w:r>
      <w:permEnd w:id="39"/>
      <w:r>
        <w:rPr>
          <w:rFonts w:hint="eastAsia" w:ascii="宋体" w:hAnsi="宋体"/>
          <w:bCs/>
          <w:sz w:val="22"/>
          <w:szCs w:val="22"/>
          <w:highlight w:val="none"/>
        </w:rPr>
        <w:t xml:space="preserve"> 元</w:t>
      </w:r>
    </w:p>
    <w:p w14:paraId="2B506F58">
      <w:pPr>
        <w:numPr>
          <w:ilvl w:val="0"/>
          <w:numId w:val="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再认证费用（含中英文正本证书一套）：                 计 </w:t>
      </w:r>
      <w:permStart w:id="40" w:edGrp="everyone"/>
      <w:r>
        <w:rPr>
          <w:rFonts w:hint="eastAsia" w:ascii="宋体" w:hAnsi="宋体"/>
          <w:bCs/>
          <w:sz w:val="22"/>
          <w:szCs w:val="22"/>
          <w:highlight w:val="none"/>
          <w:u w:val="single"/>
        </w:rPr>
        <w:t xml:space="preserve">             </w:t>
      </w:r>
      <w:permEnd w:id="40"/>
      <w:r>
        <w:rPr>
          <w:rFonts w:hint="eastAsia" w:ascii="宋体" w:hAnsi="宋体"/>
          <w:bCs/>
          <w:sz w:val="22"/>
          <w:szCs w:val="22"/>
          <w:highlight w:val="none"/>
        </w:rPr>
        <w:t xml:space="preserve"> 元</w:t>
      </w:r>
    </w:p>
    <w:p w14:paraId="47CC570A">
      <w:pPr>
        <w:numPr>
          <w:ilvl w:val="0"/>
          <w:numId w:val="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预审核费用（需要时）：                               计 </w:t>
      </w:r>
      <w:permStart w:id="41" w:edGrp="everyone"/>
      <w:r>
        <w:rPr>
          <w:rFonts w:hint="eastAsia" w:ascii="宋体" w:hAnsi="宋体"/>
          <w:bCs/>
          <w:sz w:val="22"/>
          <w:szCs w:val="22"/>
          <w:highlight w:val="none"/>
          <w:u w:val="single"/>
        </w:rPr>
        <w:t xml:space="preserve">             </w:t>
      </w:r>
      <w:permEnd w:id="41"/>
      <w:r>
        <w:rPr>
          <w:rFonts w:hint="eastAsia" w:ascii="宋体" w:hAnsi="宋体"/>
          <w:bCs/>
          <w:sz w:val="22"/>
          <w:szCs w:val="22"/>
          <w:highlight w:val="none"/>
        </w:rPr>
        <w:t xml:space="preserve"> 元</w:t>
      </w:r>
    </w:p>
    <w:p w14:paraId="0533ECD5">
      <w:pPr>
        <w:numPr>
          <w:ilvl w:val="0"/>
          <w:numId w:val="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副本及子证书费：</w:t>
      </w:r>
    </w:p>
    <w:p w14:paraId="341164D2">
      <w:pPr>
        <w:spacing w:before="78" w:beforeLines="25" w:after="109" w:afterLines="35" w:line="276" w:lineRule="auto"/>
        <w:ind w:left="420"/>
        <w:rPr>
          <w:rFonts w:hint="eastAsia" w:ascii="宋体" w:hAnsi="宋体"/>
          <w:bCs/>
          <w:sz w:val="22"/>
          <w:szCs w:val="22"/>
          <w:highlight w:val="none"/>
        </w:rPr>
      </w:pPr>
      <w:r>
        <w:rPr>
          <w:rFonts w:hint="eastAsia" w:ascii="宋体" w:hAnsi="宋体"/>
          <w:bCs/>
          <w:sz w:val="22"/>
          <w:szCs w:val="22"/>
          <w:highlight w:val="none"/>
        </w:rPr>
        <w:t>中文</w:t>
      </w:r>
      <w:permStart w:id="42" w:edGrp="everyone"/>
      <w:r>
        <w:rPr>
          <w:rFonts w:ascii="宋体" w:hAnsi="宋体"/>
          <w:bCs/>
          <w:sz w:val="22"/>
          <w:szCs w:val="22"/>
          <w:highlight w:val="none"/>
          <w:u w:val="single"/>
        </w:rPr>
        <w:t xml:space="preserve">     </w:t>
      </w:r>
      <w:permEnd w:id="42"/>
      <w:r>
        <w:rPr>
          <w:rFonts w:hint="eastAsia" w:ascii="宋体" w:hAnsi="宋体"/>
          <w:bCs/>
          <w:sz w:val="22"/>
          <w:szCs w:val="22"/>
          <w:highlight w:val="none"/>
        </w:rPr>
        <w:t>张或英文</w:t>
      </w:r>
      <w:permStart w:id="43" w:edGrp="everyone"/>
      <w:r>
        <w:rPr>
          <w:rFonts w:ascii="宋体" w:hAnsi="宋体"/>
          <w:bCs/>
          <w:sz w:val="22"/>
          <w:szCs w:val="22"/>
          <w:highlight w:val="none"/>
          <w:u w:val="single"/>
        </w:rPr>
        <w:t xml:space="preserve">     </w:t>
      </w:r>
      <w:permEnd w:id="43"/>
      <w:r>
        <w:rPr>
          <w:rFonts w:hint="eastAsia" w:ascii="宋体" w:hAnsi="宋体"/>
          <w:bCs/>
          <w:sz w:val="22"/>
          <w:szCs w:val="22"/>
          <w:highlight w:val="none"/>
        </w:rPr>
        <w:t>张50元/张，</w:t>
      </w:r>
      <w:permStart w:id="44" w:edGrp="everyone"/>
      <w:r>
        <w:rPr>
          <w:rFonts w:ascii="宋体" w:hAnsi="宋体"/>
          <w:bCs/>
          <w:sz w:val="22"/>
          <w:szCs w:val="22"/>
          <w:highlight w:val="none"/>
          <w:u w:val="single"/>
        </w:rPr>
        <w:t xml:space="preserve">      </w:t>
      </w:r>
      <w:permEnd w:id="44"/>
      <w:r>
        <w:rPr>
          <w:rFonts w:hint="eastAsia" w:ascii="宋体" w:hAnsi="宋体"/>
          <w:bCs/>
          <w:sz w:val="22"/>
          <w:szCs w:val="22"/>
          <w:highlight w:val="none"/>
        </w:rPr>
        <w:t xml:space="preserve">文500元/张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r>
        <w:rPr>
          <w:rFonts w:hint="eastAsia" w:ascii="宋体" w:hAnsi="宋体"/>
          <w:bCs/>
          <w:sz w:val="22"/>
          <w:szCs w:val="22"/>
          <w:highlight w:val="none"/>
        </w:rPr>
        <w:t xml:space="preserve"> 计 </w:t>
      </w:r>
      <w:permStart w:id="45" w:edGrp="everyone"/>
      <w:r>
        <w:rPr>
          <w:rFonts w:hint="eastAsia" w:ascii="宋体" w:hAnsi="宋体"/>
          <w:bCs/>
          <w:sz w:val="22"/>
          <w:szCs w:val="22"/>
          <w:highlight w:val="none"/>
          <w:u w:val="single"/>
        </w:rPr>
        <w:t xml:space="preserve">             </w:t>
      </w:r>
      <w:permEnd w:id="45"/>
      <w:r>
        <w:rPr>
          <w:rFonts w:hint="eastAsia" w:ascii="宋体" w:hAnsi="宋体"/>
          <w:bCs/>
          <w:sz w:val="22"/>
          <w:szCs w:val="22"/>
          <w:highlight w:val="none"/>
        </w:rPr>
        <w:t xml:space="preserve"> 元</w:t>
      </w:r>
    </w:p>
    <w:p w14:paraId="1A55A408">
      <w:pPr>
        <w:spacing w:before="78" w:beforeLines="25" w:after="109" w:afterLines="35" w:line="276" w:lineRule="auto"/>
        <w:ind w:left="420"/>
        <w:rPr>
          <w:rFonts w:hint="eastAsia" w:ascii="宋体" w:hAnsi="宋体"/>
          <w:bCs/>
          <w:sz w:val="22"/>
          <w:szCs w:val="22"/>
          <w:highlight w:val="none"/>
        </w:rPr>
      </w:pPr>
      <w:r>
        <w:rPr>
          <w:rFonts w:hint="eastAsia" w:ascii="宋体" w:hAnsi="宋体"/>
          <w:b/>
          <w:sz w:val="20"/>
          <w:szCs w:val="22"/>
          <w:highlight w:val="none"/>
        </w:rPr>
        <w:t>注：审核费将依据认证审核的工作量（人日数）来确定，核算认证审核的工作量（人日数）的方法详见公开文件《管理体系认证收费规则》。若影响认证审核的工作量（人日数）的因素发生变化，将导致审核工作量（人日数）增加或减少，具体实施审核的工作量（人日数）见《审核项目发送通知书》，审核费用也将根据审核工作量（人日数）的变化做出调整，双方需签订合同更改补充协议。</w:t>
      </w:r>
    </w:p>
    <w:p w14:paraId="62829548">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初次认证费用中包含：申请费1000元/次、审核费（按照认证审核的工作量核算）、审定与注册费2000元/体系。保持证书（监督审核）费用中包含：审核费（按照认证审核的工作量核算）、年金2000元/体系。再认证费用中包含：审核费（按照认证审核的工作量核算）、审定与注册费2000元/体系。</w:t>
      </w:r>
    </w:p>
    <w:p w14:paraId="46A5C4D8">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本合同签订之日起30日内由甲方支付给乙方初次认证/再认证费用的50%，剩余部分的初次认证/再认证费用应在现场审核前一次付清。</w:t>
      </w:r>
    </w:p>
    <w:p w14:paraId="607D7C91">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保持证书费用由甲方在每次监督审核的45日前向乙方一次付清。</w:t>
      </w:r>
    </w:p>
    <w:p w14:paraId="4920A84F">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预审核费用应在预审核的45日前，由甲方向乙方一次付清。</w:t>
      </w:r>
    </w:p>
    <w:p w14:paraId="04E5AC2E">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副本及子证书费应于证书制作前5日内付清。</w:t>
      </w:r>
    </w:p>
    <w:p w14:paraId="7A0B0D24">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乙方派出的审核人员的差旅费用根据实际发生金额由</w:t>
      </w:r>
      <w:r>
        <w:rPr>
          <w:rFonts w:hint="eastAsia"/>
          <w:sz w:val="22"/>
          <w:szCs w:val="22"/>
          <w:highlight w:val="none"/>
        </w:rPr>
        <w:t>甲方承担，并且由甲方将该差旅费支付给乙方。乙方审核员在审核过程中的差旅费用（包括往返交通费、住宿费、餐饮费等）均由审核员在乙方进行报销。审核人员差旅费具体金额的确定方式为：乙方现场审核组在现场审核结束时，提供“上海恩可埃认证有限公司差旅费用确认单”给甲方，甲方人员对相关费用进行核对并确认，确认无误后，甲乙双方的人员在该“上海恩可埃认证有限公司差旅费用确认单”上签字确认（一式二份），该</w:t>
      </w:r>
      <w:bookmarkStart w:id="0" w:name="_Hlk162391814"/>
      <w:r>
        <w:rPr>
          <w:rFonts w:hint="eastAsia"/>
          <w:sz w:val="22"/>
          <w:szCs w:val="22"/>
          <w:highlight w:val="none"/>
        </w:rPr>
        <w:t>签字后的“上海恩可埃认证有限公司差旅费用确认单”</w:t>
      </w:r>
      <w:bookmarkEnd w:id="0"/>
      <w:r>
        <w:rPr>
          <w:rFonts w:hint="eastAsia"/>
          <w:sz w:val="22"/>
          <w:szCs w:val="22"/>
          <w:highlight w:val="none"/>
        </w:rPr>
        <w:t>将作为本合同的附件，与合同具有同等法律效力，且甲方应在审核人员完成审核后的3个工作日内，按照该“上海恩可埃认证有限公司差旅费用确认单”中确定的差旅费支付给乙方。</w:t>
      </w:r>
    </w:p>
    <w:p w14:paraId="15041345">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由于甲方原因造成审核人日数或费用的增加，其增加部分应由甲方承担，甲方拒绝承担的，乙方有权中止认证程序；自乙方通知中止之日起满6个月，且双方无法就增加部分达成一致时，乙方有权解除本协议。若因乙方原因造成审核人日数或费用的增加，其增加部分应由乙方承担。</w:t>
      </w:r>
    </w:p>
    <w:p w14:paraId="6EDDA353">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应直接向乙方支付本合同约定的认证费用，不得通过第三方向乙方付款。若甲方确有需要由其上级单位（如甲方所属的集团公司、事业单位、社会团体或机关）支付费用的，则应向乙方提供甲方与费用支付方的关系证明，且在得到乙方认可后相关的支付方为有效。</w:t>
      </w:r>
    </w:p>
    <w:p w14:paraId="5863F4D6">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多体系认证时若出现某体系证书不保持的情况，其余体系的费用应调整至满足乙方认证收费的相关要求。</w:t>
      </w:r>
    </w:p>
    <w:p w14:paraId="0DB4AD7B">
      <w:pPr>
        <w:numPr>
          <w:ilvl w:val="0"/>
          <w:numId w:val="7"/>
        </w:numPr>
        <w:spacing w:before="78" w:beforeLines="25" w:after="109" w:afterLines="35" w:line="276" w:lineRule="auto"/>
        <w:rPr>
          <w:rFonts w:hint="eastAsia" w:ascii="宋体" w:hAnsi="宋体"/>
          <w:bCs/>
          <w:sz w:val="22"/>
          <w:szCs w:val="22"/>
          <w:highlight w:val="none"/>
          <w:u w:val="single"/>
        </w:rPr>
      </w:pPr>
      <w:r>
        <w:rPr>
          <w:rFonts w:hint="eastAsia" w:ascii="宋体" w:hAnsi="宋体"/>
          <w:bCs/>
          <w:sz w:val="22"/>
          <w:szCs w:val="22"/>
          <w:highlight w:val="none"/>
        </w:rPr>
        <w:t>其他要求</w:t>
      </w:r>
      <w:permStart w:id="46" w:edGrp="everyone"/>
      <w:r>
        <w:rPr>
          <w:rFonts w:hint="eastAsia" w:ascii="宋体" w:hAnsi="宋体"/>
          <w:bCs/>
          <w:sz w:val="22"/>
          <w:szCs w:val="22"/>
          <w:highlight w:val="none"/>
          <w:u w:val="single"/>
        </w:rPr>
        <w:t xml:space="preserve">                                        </w:t>
      </w:r>
      <w:r>
        <w:rPr>
          <w:rFonts w:ascii="宋体" w:hAnsi="宋体"/>
          <w:bCs/>
          <w:sz w:val="22"/>
          <w:szCs w:val="22"/>
          <w:highlight w:val="none"/>
          <w:u w:val="single"/>
        </w:rPr>
        <w:t xml:space="preserve">            </w:t>
      </w:r>
      <w:r>
        <w:rPr>
          <w:rFonts w:hint="eastAsia" w:ascii="宋体" w:hAnsi="宋体"/>
          <w:bCs/>
          <w:sz w:val="22"/>
          <w:szCs w:val="22"/>
          <w:highlight w:val="none"/>
          <w:u w:val="single"/>
        </w:rPr>
        <w:t xml:space="preserve">                     </w:t>
      </w:r>
      <w:permEnd w:id="46"/>
      <w:r>
        <w:rPr>
          <w:rFonts w:hint="eastAsia" w:ascii="宋体" w:hAnsi="宋体"/>
          <w:bCs/>
          <w:sz w:val="22"/>
          <w:szCs w:val="22"/>
          <w:highlight w:val="none"/>
        </w:rPr>
        <w:t>。</w:t>
      </w:r>
    </w:p>
    <w:p w14:paraId="67700533">
      <w:pPr>
        <w:numPr>
          <w:ilvl w:val="0"/>
          <w:numId w:val="1"/>
        </w:numPr>
        <w:spacing w:before="78" w:beforeLines="25" w:after="109" w:afterLines="35" w:line="276" w:lineRule="auto"/>
        <w:rPr>
          <w:rFonts w:hint="eastAsia" w:ascii="宋体" w:hAnsi="宋体"/>
          <w:b/>
          <w:bCs/>
          <w:sz w:val="22"/>
          <w:szCs w:val="22"/>
          <w:highlight w:val="none"/>
        </w:rPr>
      </w:pPr>
      <w:bookmarkStart w:id="1" w:name="OLE_LINK3"/>
      <w:r>
        <w:rPr>
          <w:rFonts w:hint="eastAsia" w:ascii="宋体" w:hAnsi="宋体"/>
          <w:b/>
          <w:bCs/>
          <w:sz w:val="22"/>
          <w:szCs w:val="22"/>
          <w:highlight w:val="none"/>
        </w:rPr>
        <w:t>合同双方的权利和义务</w:t>
      </w:r>
      <w:r>
        <w:rPr>
          <w:rFonts w:hint="eastAsia" w:ascii="宋体" w:hAnsi="宋体"/>
          <w:b/>
          <w:bCs/>
          <w:sz w:val="22"/>
          <w:szCs w:val="22"/>
          <w:highlight w:val="none"/>
        </w:rPr>
        <w:tab/>
      </w:r>
    </w:p>
    <w:bookmarkEnd w:id="1"/>
    <w:p w14:paraId="4F84543C">
      <w:pPr>
        <w:numPr>
          <w:ilvl w:val="0"/>
          <w:numId w:val="9"/>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甲方的权利和义务：</w:t>
      </w:r>
    </w:p>
    <w:p w14:paraId="22A0726B">
      <w:pPr>
        <w:numPr>
          <w:ilvl w:val="2"/>
          <w:numId w:val="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权  利：</w:t>
      </w:r>
    </w:p>
    <w:p w14:paraId="00522693">
      <w:pPr>
        <w:numPr>
          <w:ilvl w:val="0"/>
          <w:numId w:val="10"/>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有权在符合有关法律法规及相关要求的前提下，提出管理体系认证范围的要求（包括产品/服务/活动/场所）。</w:t>
      </w:r>
    </w:p>
    <w:p w14:paraId="6A9E959D">
      <w:pPr>
        <w:numPr>
          <w:ilvl w:val="0"/>
          <w:numId w:val="10"/>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有权对乙方在认证服务过程或活动中违规和损害公正性的行为提出申诉或投诉。</w:t>
      </w:r>
    </w:p>
    <w:p w14:paraId="60DE9B6D">
      <w:pPr>
        <w:numPr>
          <w:ilvl w:val="2"/>
          <w:numId w:val="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义  务：</w:t>
      </w:r>
    </w:p>
    <w:p w14:paraId="49731C64">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取得合法主体资格及相应法律法规规定的行政许可（适用时），并处于有效期内；</w:t>
      </w:r>
    </w:p>
    <w:p w14:paraId="567DD9A2">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遵守认证认可相关法律、法规</w:t>
      </w:r>
      <w:r>
        <w:rPr>
          <w:rFonts w:hint="eastAsia" w:ascii="宋体" w:hAnsi="宋体"/>
          <w:bCs/>
          <w:sz w:val="22"/>
          <w:szCs w:val="22"/>
          <w:highlight w:val="none"/>
          <w:lang w:eastAsia="zh-CN"/>
        </w:rPr>
        <w:t>、</w:t>
      </w:r>
      <w:r>
        <w:rPr>
          <w:rFonts w:hint="eastAsia" w:ascii="宋体" w:hAnsi="宋体"/>
          <w:bCs/>
          <w:sz w:val="22"/>
          <w:szCs w:val="22"/>
          <w:highlight w:val="none"/>
        </w:rPr>
        <w:t>规章</w:t>
      </w:r>
      <w:r>
        <w:rPr>
          <w:rFonts w:hint="eastAsia" w:ascii="宋体" w:hAnsi="宋体"/>
          <w:bCs/>
          <w:sz w:val="22"/>
          <w:szCs w:val="22"/>
          <w:highlight w:val="none"/>
          <w:lang w:val="en-US" w:eastAsia="zh-CN"/>
        </w:rPr>
        <w:t>和认证程序要求</w:t>
      </w:r>
      <w:r>
        <w:rPr>
          <w:rFonts w:hint="eastAsia" w:ascii="宋体" w:hAnsi="宋体"/>
          <w:bCs/>
          <w:sz w:val="22"/>
          <w:szCs w:val="22"/>
          <w:highlight w:val="none"/>
        </w:rPr>
        <w:t>，</w:t>
      </w:r>
      <w:r>
        <w:rPr>
          <w:rFonts w:hint="eastAsia" w:ascii="宋体" w:hAnsi="宋体"/>
          <w:bCs/>
          <w:sz w:val="22"/>
          <w:szCs w:val="22"/>
          <w:highlight w:val="none"/>
          <w:lang w:val="en-US" w:eastAsia="zh-CN"/>
        </w:rPr>
        <w:t>如实提供相关材料和信息，配合认证行政监管部门的监督检查和乙方对投诉的调查，及时向乙方通报管理体系及本合同甲方义务中k）条款中所列条件的变更情况</w:t>
      </w:r>
      <w:r>
        <w:rPr>
          <w:rFonts w:hint="eastAsia" w:ascii="宋体" w:hAnsi="宋体"/>
          <w:bCs/>
          <w:sz w:val="22"/>
          <w:szCs w:val="22"/>
          <w:highlight w:val="none"/>
        </w:rPr>
        <w:t>。</w:t>
      </w:r>
    </w:p>
    <w:p w14:paraId="35130520">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接受乙方、认可机构等安排的非例行检查/审核、确认审核、见证评审等，并在检查/审核/评审中给予必要的配合。</w:t>
      </w:r>
    </w:p>
    <w:p w14:paraId="35B87E55">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遵守乙方的有关认证规定（参见乙方网站</w:t>
      </w:r>
      <w:r>
        <w:rPr>
          <w:highlight w:val="none"/>
        </w:rPr>
        <w:fldChar w:fldCharType="begin"/>
      </w:r>
      <w:r>
        <w:rPr>
          <w:highlight w:val="none"/>
        </w:rPr>
        <w:instrText xml:space="preserve"> HYPERLINK "http://www.snqa.com.cn" </w:instrText>
      </w:r>
      <w:r>
        <w:rPr>
          <w:highlight w:val="none"/>
        </w:rPr>
        <w:fldChar w:fldCharType="separate"/>
      </w:r>
      <w:r>
        <w:rPr>
          <w:rFonts w:hint="eastAsia"/>
          <w:highlight w:val="none"/>
        </w:rPr>
        <w:t>http://www.snq</w:t>
      </w:r>
      <w:r>
        <w:rPr>
          <w:highlight w:val="none"/>
        </w:rPr>
        <w:t>a</w:t>
      </w:r>
      <w:r>
        <w:rPr>
          <w:rFonts w:hint="eastAsia"/>
          <w:highlight w:val="none"/>
        </w:rPr>
        <w:t>.com.cn</w:t>
      </w:r>
      <w:r>
        <w:rPr>
          <w:rFonts w:hint="eastAsia"/>
          <w:highlight w:val="none"/>
        </w:rPr>
        <w:fldChar w:fldCharType="end"/>
      </w:r>
      <w:r>
        <w:rPr>
          <w:rFonts w:hint="eastAsia" w:ascii="宋体" w:hAnsi="宋体"/>
          <w:bCs/>
          <w:sz w:val="22"/>
          <w:szCs w:val="22"/>
          <w:highlight w:val="none"/>
        </w:rPr>
        <w:t>所发布的公开文件），按时交纳和承担各项费用，逾期交费按合同总额每日5‰向乙方支付违约金。</w:t>
      </w:r>
    </w:p>
    <w:p w14:paraId="01D35754">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保证提交资料的真实性、合法性及有效性，同时提交的管理体系文件应符合乙方审核的要求，甲方应根据乙方的文审意见对体系文件进行修订。 </w:t>
      </w:r>
    </w:p>
    <w:p w14:paraId="23C9D9D4">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为乙方进入现场审核作出全面合理安排，包括向乙方提供为进行初次认证、监督、再认证审核所需要的文件，审核人员所需进入的场所（保密区域应提前向乙方书面说明），提供充分的资料证明体系运行的有效性。在认证审核过程中，如必需使用ICT技术（信息和通讯技术，例如拍摄照片、录制音视频、召开电视电话会议、通过远程介入方式访问文件和记录、通过实时监控系统进行观察）才能确保有效实施审核时，甲方应提供必要的设备设施、网络、技术人员等，并确保信息和数据的安全和保密。</w:t>
      </w:r>
    </w:p>
    <w:p w14:paraId="11B66938">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获得认证证书后，</w:t>
      </w:r>
      <w:r>
        <w:rPr>
          <w:rFonts w:hint="eastAsia" w:ascii="宋体" w:hAnsi="宋体"/>
          <w:bCs/>
          <w:sz w:val="22"/>
          <w:szCs w:val="22"/>
          <w:highlight w:val="none"/>
          <w:lang w:val="en-US" w:eastAsia="zh-CN"/>
        </w:rPr>
        <w:t>甲</w:t>
      </w:r>
      <w:r>
        <w:rPr>
          <w:rFonts w:hint="eastAsia" w:ascii="宋体" w:hAnsi="宋体"/>
          <w:bCs/>
          <w:sz w:val="22"/>
          <w:szCs w:val="22"/>
          <w:highlight w:val="none"/>
        </w:rPr>
        <w:t>方应承诺持续有效运行其管理体系，对认证信息的使用应符合以下要求：</w:t>
      </w:r>
    </w:p>
    <w:p w14:paraId="1DEF539A">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不做出或不允许有关于其认证资格的误导性说明；</w:t>
      </w:r>
    </w:p>
    <w:p w14:paraId="0166EEA6">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不以或不允许以误导性方式使用认证文件或其任何部分，不得利用管理体系认证证书和相关文字、符号误导公众认为其产品、服务通过认证；</w:t>
      </w:r>
    </w:p>
    <w:p w14:paraId="1C763BC3">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不得在产品上使用</w:t>
      </w:r>
      <w:r>
        <w:rPr>
          <w:rFonts w:hint="eastAsia" w:ascii="宋体" w:hAnsi="宋体"/>
          <w:bCs/>
          <w:sz w:val="22"/>
          <w:szCs w:val="22"/>
          <w:highlight w:val="none"/>
          <w:lang w:val="en-US" w:eastAsia="zh-CN"/>
        </w:rPr>
        <w:t>管理体系</w:t>
      </w:r>
      <w:r>
        <w:rPr>
          <w:rFonts w:hint="eastAsia" w:ascii="宋体" w:hAnsi="宋体"/>
          <w:bCs/>
          <w:sz w:val="22"/>
          <w:szCs w:val="22"/>
          <w:highlight w:val="none"/>
        </w:rPr>
        <w:t>认证标志</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在管理体系认证证书处于有效状态期间，甲方可在产品外包上做出其通过管理体系认证声明</w:t>
      </w:r>
      <w:r>
        <w:rPr>
          <w:rFonts w:hint="eastAsia" w:ascii="宋体" w:hAnsi="宋体"/>
          <w:bCs/>
          <w:sz w:val="22"/>
          <w:szCs w:val="22"/>
          <w:highlight w:val="none"/>
        </w:rPr>
        <w:t>。但该声明不得暗示产品、过程或服务获得了认证</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且</w:t>
      </w:r>
      <w:r>
        <w:rPr>
          <w:rFonts w:hint="eastAsia" w:ascii="宋体" w:hAnsi="宋体"/>
          <w:bCs/>
          <w:sz w:val="22"/>
          <w:szCs w:val="22"/>
          <w:highlight w:val="none"/>
        </w:rPr>
        <w:t>声明必须包含</w:t>
      </w:r>
      <w:r>
        <w:rPr>
          <w:rFonts w:hint="eastAsia" w:ascii="宋体" w:hAnsi="宋体"/>
          <w:bCs/>
          <w:sz w:val="22"/>
          <w:szCs w:val="22"/>
          <w:highlight w:val="none"/>
          <w:lang w:val="en-US" w:eastAsia="zh-CN"/>
        </w:rPr>
        <w:t>甲方</w:t>
      </w:r>
      <w:r>
        <w:rPr>
          <w:rFonts w:hint="eastAsia" w:ascii="宋体" w:hAnsi="宋体"/>
          <w:bCs/>
          <w:sz w:val="22"/>
          <w:szCs w:val="22"/>
          <w:highlight w:val="none"/>
        </w:rPr>
        <w:t>组织名称、</w:t>
      </w:r>
      <w:r>
        <w:rPr>
          <w:rFonts w:hint="eastAsia" w:ascii="宋体" w:hAnsi="宋体"/>
          <w:bCs/>
          <w:sz w:val="22"/>
          <w:szCs w:val="22"/>
          <w:highlight w:val="none"/>
          <w:lang w:val="en-US" w:eastAsia="zh-CN"/>
        </w:rPr>
        <w:t>甲方</w:t>
      </w:r>
      <w:r>
        <w:rPr>
          <w:rFonts w:hint="eastAsia" w:ascii="宋体" w:hAnsi="宋体"/>
          <w:bCs/>
          <w:sz w:val="22"/>
          <w:szCs w:val="22"/>
          <w:highlight w:val="none"/>
        </w:rPr>
        <w:t>所获认证的管理体系类型以及</w:t>
      </w:r>
      <w:r>
        <w:rPr>
          <w:rFonts w:hint="eastAsia" w:ascii="宋体" w:hAnsi="宋体"/>
          <w:bCs/>
          <w:sz w:val="22"/>
          <w:szCs w:val="22"/>
          <w:highlight w:val="none"/>
          <w:lang w:val="en-US" w:eastAsia="zh-CN"/>
        </w:rPr>
        <w:t>乙方</w:t>
      </w:r>
      <w:r>
        <w:rPr>
          <w:rFonts w:hint="eastAsia" w:ascii="宋体" w:hAnsi="宋体"/>
          <w:bCs/>
          <w:sz w:val="22"/>
          <w:szCs w:val="22"/>
          <w:highlight w:val="none"/>
        </w:rPr>
        <w:t>机构名称；</w:t>
      </w:r>
    </w:p>
    <w:p w14:paraId="64DE1684">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证书暂停期间，管理体系认证证书暂时无效，不得使用证书和标志继续宣传认证资格；</w:t>
      </w:r>
    </w:p>
    <w:p w14:paraId="3712B958">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证书撤销时，按照乙方撤销通知和公开文件要求，立即停止使用所有引用认证资格的广告材料，并将证书归还乙方；</w:t>
      </w:r>
    </w:p>
    <w:p w14:paraId="645D3FC8">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在认证范围被缩小时，应修改所有的广告材料；</w:t>
      </w:r>
    </w:p>
    <w:p w14:paraId="6864BB30">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不允许在引用管理体系认证资格时，暗示乙方对产品（包括服务）或过程进行了认证；</w:t>
      </w:r>
    </w:p>
    <w:p w14:paraId="7B6E10FA">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不得暗示认证适用于认证范围以外的活动和场所；</w:t>
      </w:r>
    </w:p>
    <w:p w14:paraId="488E4047">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在使用认证资格时，不得使乙方和（或）认证制度声誉受损，失去公众信任；</w:t>
      </w:r>
    </w:p>
    <w:p w14:paraId="1444CE92">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对违反以上任一要求引起的一切责任由甲方自行承担，因此给乙方造成损失或影响的，甲方应承担赔偿责任。</w:t>
      </w:r>
    </w:p>
    <w:p w14:paraId="2EB5644C">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证书有效期内，甲方发生以下情况时应及时向乙方进行通报（通报渠道详见乙方公司网站上的公开文件《信息通报要求》），包括（但不限于）以下内容：</w:t>
      </w:r>
    </w:p>
    <w:p w14:paraId="7FD5865B">
      <w:pPr>
        <w:pStyle w:val="13"/>
        <w:numPr>
          <w:ilvl w:val="0"/>
          <w:numId w:val="13"/>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甲方的法律地位、经营状况、组织状态或所有权的变更；组织、组织结构和管理层（如法人代表、最高管理者等关键的管理、决策或技术人员）的变更；联系地址、注册地址、通讯地址、活动场所、多场所等的变更；</w:t>
      </w:r>
      <w:r>
        <w:rPr>
          <w:rFonts w:ascii="宋体" w:hAnsi="宋体"/>
          <w:bCs/>
          <w:sz w:val="22"/>
          <w:szCs w:val="22"/>
          <w:highlight w:val="none"/>
        </w:rPr>
        <w:t>行政许可资质的变更、更新、复查换证、到期、注销等情况信息；</w:t>
      </w:r>
      <w:r>
        <w:rPr>
          <w:rFonts w:hint="eastAsia" w:ascii="宋体" w:hAnsi="宋体"/>
          <w:bCs/>
          <w:sz w:val="22"/>
          <w:szCs w:val="22"/>
          <w:highlight w:val="none"/>
        </w:rPr>
        <w:t>管理体系覆盖的活动范围和（或）边界的变更；管理体系和重要过程的变更；管理体系文件的变化；适用法律法规及标准的变化；其他与管理体系运行有关的重要信息；生产、销售的产品或提供的服务被质量或市场监督部门认定不合格；发生产品质量安全事故、环境污染事故、安全事故、信息安全事故、医疗器械安全事故等事故以及产品召回、发生劳动纠纷、违反劳动法律法规等事件；客户及相关方的重大投诉；消费者投诉信息；有关执法监管部门或消协组织的处罚和通报；被国家企业信用信息公示系统（</w:t>
      </w:r>
      <w:r>
        <w:rPr>
          <w:rFonts w:ascii="宋体" w:hAnsi="宋体"/>
          <w:bCs/>
          <w:sz w:val="22"/>
          <w:szCs w:val="22"/>
          <w:highlight w:val="none"/>
        </w:rPr>
        <w:t>http://www.gsxt.gov.cn</w:t>
      </w:r>
      <w:r>
        <w:rPr>
          <w:rFonts w:hint="eastAsia" w:ascii="宋体" w:hAnsi="宋体"/>
          <w:bCs/>
          <w:sz w:val="22"/>
          <w:szCs w:val="22"/>
          <w:highlight w:val="none"/>
        </w:rPr>
        <w:t>）和信用中国（https://www.creditchina.gov.cn）系统列入“严重违法失信企业名单”等；</w:t>
      </w:r>
    </w:p>
    <w:p w14:paraId="3D904D97">
      <w:pPr>
        <w:pStyle w:val="13"/>
        <w:numPr>
          <w:ilvl w:val="0"/>
          <w:numId w:val="13"/>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获得医疗器械管理体系认证的组织，当监管机构提出要求时，甲方同意乙方将审核报告上传至监管机构。</w:t>
      </w:r>
    </w:p>
    <w:p w14:paraId="63FD6F7F">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接受乙方因甲方相关内容变更后的调查和必要时的追加审核和认证决定，否则因此引起的一切责任由甲方自行承担，因此给乙方造成损失或影响的，甲方应承担赔偿责任。</w:t>
      </w:r>
    </w:p>
    <w:p w14:paraId="0CAB4C95">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应保证管理体系有关信息的真实性，因隐瞒管理体系覆盖的组织机构、人数、多场所数量等信息导致审核人日不足、多场所抽样量不足、审核结果无效或认证证书失效，由此造成的损失由甲方承担全责，并承担对乙方造成的损失。</w:t>
      </w:r>
    </w:p>
    <w:p w14:paraId="22A5A3C2">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向乙方申请管理体系认证时，甲方承诺具备以下条件：</w:t>
      </w:r>
    </w:p>
    <w:p w14:paraId="76645E1E">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default" w:ascii="宋体" w:hAnsi="宋体" w:eastAsia="宋体"/>
          <w:bCs/>
          <w:sz w:val="22"/>
          <w:szCs w:val="22"/>
          <w:highlight w:val="none"/>
        </w:rPr>
        <w:t>申请管理体系认证之日起前一年内</w:t>
      </w:r>
      <w:r>
        <w:rPr>
          <w:rFonts w:hint="default" w:ascii="宋体" w:hAnsi="宋体" w:eastAsia="宋体"/>
          <w:bCs/>
          <w:sz w:val="22"/>
          <w:szCs w:val="22"/>
          <w:highlight w:val="none"/>
          <w:lang w:eastAsia="zh-CN"/>
        </w:rPr>
        <w:t>，</w:t>
      </w:r>
      <w:r>
        <w:rPr>
          <w:rFonts w:hint="eastAsia" w:ascii="宋体" w:hAnsi="宋体"/>
          <w:bCs/>
          <w:sz w:val="22"/>
          <w:szCs w:val="22"/>
          <w:highlight w:val="none"/>
        </w:rPr>
        <w:t>其他认证机构</w:t>
      </w:r>
      <w:r>
        <w:rPr>
          <w:rFonts w:hint="default" w:ascii="宋体" w:hAnsi="宋体"/>
          <w:bCs/>
          <w:sz w:val="22"/>
          <w:szCs w:val="22"/>
          <w:highlight w:val="none"/>
          <w:lang w:val="en-US" w:eastAsia="zh-CN"/>
        </w:rPr>
        <w:t>未</w:t>
      </w:r>
      <w:r>
        <w:rPr>
          <w:rFonts w:hint="eastAsia" w:ascii="宋体" w:hAnsi="宋体"/>
          <w:bCs/>
          <w:sz w:val="22"/>
          <w:szCs w:val="22"/>
          <w:highlight w:val="none"/>
        </w:rPr>
        <w:t>对</w:t>
      </w:r>
      <w:r>
        <w:rPr>
          <w:rFonts w:ascii="宋体" w:hAnsi="宋体"/>
          <w:bCs/>
          <w:sz w:val="22"/>
          <w:szCs w:val="22"/>
          <w:highlight w:val="none"/>
        </w:rPr>
        <w:t>本组织</w:t>
      </w:r>
      <w:r>
        <w:rPr>
          <w:rFonts w:hint="eastAsia" w:ascii="宋体" w:hAnsi="宋体"/>
          <w:bCs/>
          <w:sz w:val="22"/>
          <w:szCs w:val="22"/>
          <w:highlight w:val="none"/>
        </w:rPr>
        <w:t>作出过不推荐认证注册（初审）、不推荐再次认证注册或不推荐继续使用认证证书（监督）的结论；</w:t>
      </w:r>
    </w:p>
    <w:p w14:paraId="163E322B">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第一阶段审核前</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甲方质量/环境/职业健康安全/信息安全/信息技术服务管理</w:t>
      </w:r>
      <w:r>
        <w:rPr>
          <w:rFonts w:hint="eastAsia" w:ascii="宋体" w:hAnsi="宋体"/>
          <w:bCs/>
          <w:sz w:val="22"/>
          <w:szCs w:val="22"/>
          <w:highlight w:val="none"/>
        </w:rPr>
        <w:t>体系有效运行不少于3个月（生产植入性医疗器械的申请组织的</w:t>
      </w:r>
      <w:r>
        <w:rPr>
          <w:rFonts w:hint="eastAsia" w:ascii="宋体" w:hAnsi="宋体"/>
          <w:bCs/>
          <w:sz w:val="22"/>
          <w:szCs w:val="22"/>
          <w:highlight w:val="none"/>
          <w:lang w:val="en-US" w:eastAsia="zh-CN"/>
        </w:rPr>
        <w:t>医疗器械</w:t>
      </w:r>
      <w:r>
        <w:rPr>
          <w:rFonts w:hint="eastAsia" w:ascii="宋体" w:hAnsi="宋体"/>
          <w:bCs/>
          <w:sz w:val="22"/>
          <w:szCs w:val="22"/>
          <w:highlight w:val="none"/>
        </w:rPr>
        <w:t>质量管理体系有效运行不少于6个月）；</w:t>
      </w:r>
    </w:p>
    <w:p w14:paraId="47DD445B">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因甲方自身原因而导致的其原</w:t>
      </w:r>
      <w:r>
        <w:rPr>
          <w:rFonts w:hint="eastAsia" w:ascii="宋体" w:hAnsi="宋体"/>
          <w:bCs/>
          <w:sz w:val="22"/>
          <w:szCs w:val="22"/>
          <w:highlight w:val="none"/>
          <w:lang w:val="en-US" w:eastAsia="zh-CN"/>
        </w:rPr>
        <w:t>QMS/EMS/OHSMS/ISMS/ITSMS</w:t>
      </w:r>
      <w:r>
        <w:rPr>
          <w:rFonts w:hint="eastAsia" w:ascii="宋体" w:hAnsi="宋体"/>
          <w:bCs/>
          <w:sz w:val="22"/>
          <w:szCs w:val="22"/>
          <w:highlight w:val="none"/>
        </w:rPr>
        <w:t>认证证书被暂停、撤销或注销的期限已满一年（适用于QMS</w:t>
      </w:r>
      <w:r>
        <w:rPr>
          <w:rFonts w:hint="eastAsia" w:ascii="宋体" w:hAnsi="宋体"/>
          <w:bCs/>
          <w:sz w:val="22"/>
          <w:szCs w:val="22"/>
          <w:highlight w:val="none"/>
          <w:lang w:val="en-US" w:eastAsia="zh-CN"/>
        </w:rPr>
        <w:t>/EMS/OHSMS/ISMS/ITSMS</w:t>
      </w:r>
      <w:r>
        <w:rPr>
          <w:rFonts w:hint="eastAsia" w:ascii="宋体" w:hAnsi="宋体"/>
          <w:bCs/>
          <w:sz w:val="22"/>
          <w:szCs w:val="22"/>
          <w:highlight w:val="none"/>
        </w:rPr>
        <w:t>认证）；</w:t>
      </w:r>
    </w:p>
    <w:p w14:paraId="6635C150">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eastAsia="宋体"/>
          <w:bCs/>
          <w:sz w:val="22"/>
          <w:szCs w:val="22"/>
          <w:highlight w:val="none"/>
        </w:rPr>
        <w:t>原</w:t>
      </w:r>
      <w:r>
        <w:rPr>
          <w:rFonts w:hint="eastAsia" w:ascii="宋体" w:hAnsi="宋体"/>
          <w:bCs/>
          <w:sz w:val="22"/>
          <w:szCs w:val="22"/>
          <w:highlight w:val="none"/>
          <w:lang w:val="en-US" w:eastAsia="zh-CN"/>
        </w:rPr>
        <w:t>QMS/EMS/OHSMS/ISMS/ITSMS</w:t>
      </w:r>
      <w:r>
        <w:rPr>
          <w:rFonts w:hint="eastAsia" w:ascii="宋体" w:hAnsi="宋体" w:eastAsia="宋体"/>
          <w:bCs/>
          <w:sz w:val="22"/>
          <w:szCs w:val="22"/>
          <w:highlight w:val="none"/>
        </w:rPr>
        <w:t>认证证书发证机构被国家认监委撤销认证资质</w:t>
      </w:r>
      <w:r>
        <w:rPr>
          <w:rFonts w:hint="eastAsia" w:ascii="宋体" w:hAnsi="宋体"/>
          <w:bCs/>
          <w:sz w:val="22"/>
          <w:szCs w:val="22"/>
          <w:highlight w:val="none"/>
          <w:lang w:val="en-US" w:eastAsia="zh-CN"/>
        </w:rPr>
        <w:t>已</w:t>
      </w:r>
      <w:r>
        <w:rPr>
          <w:rFonts w:hint="eastAsia" w:ascii="宋体" w:hAnsi="宋体" w:eastAsia="宋体"/>
          <w:bCs/>
          <w:sz w:val="22"/>
          <w:szCs w:val="22"/>
          <w:highlight w:val="none"/>
        </w:rPr>
        <w:t>满三个月（</w:t>
      </w:r>
      <w:r>
        <w:rPr>
          <w:rFonts w:hint="eastAsia" w:ascii="宋体" w:hAnsi="宋体"/>
          <w:bCs/>
          <w:sz w:val="22"/>
          <w:szCs w:val="22"/>
          <w:highlight w:val="none"/>
          <w:lang w:val="en-US" w:eastAsia="zh-CN"/>
        </w:rPr>
        <w:t>适用于QMS/EMS/OHSMS/ISMS/ITSMS认证</w:t>
      </w:r>
      <w:r>
        <w:rPr>
          <w:rFonts w:hint="eastAsia" w:ascii="宋体" w:hAnsi="宋体" w:eastAsia="宋体"/>
          <w:bCs/>
          <w:sz w:val="22"/>
          <w:szCs w:val="22"/>
          <w:highlight w:val="none"/>
        </w:rPr>
        <w:t>）</w:t>
      </w:r>
    </w:p>
    <w:p w14:paraId="0E942609">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lang w:val="en-US" w:eastAsia="zh-CN"/>
        </w:rPr>
        <w:t>当前</w:t>
      </w:r>
      <w:r>
        <w:rPr>
          <w:rFonts w:hint="eastAsia" w:ascii="宋体" w:hAnsi="宋体"/>
          <w:bCs/>
          <w:sz w:val="22"/>
          <w:szCs w:val="22"/>
          <w:highlight w:val="none"/>
        </w:rPr>
        <w:t>未被</w:t>
      </w:r>
      <w:r>
        <w:rPr>
          <w:rFonts w:hint="eastAsia" w:ascii="宋体" w:hAnsi="宋体"/>
          <w:bCs/>
          <w:sz w:val="22"/>
          <w:szCs w:val="22"/>
          <w:highlight w:val="none"/>
          <w:lang w:val="en-US" w:eastAsia="zh-CN"/>
        </w:rPr>
        <w:t>行政</w:t>
      </w:r>
      <w:r>
        <w:rPr>
          <w:rFonts w:hint="eastAsia" w:ascii="宋体" w:hAnsi="宋体"/>
          <w:bCs/>
          <w:sz w:val="22"/>
          <w:szCs w:val="22"/>
          <w:highlight w:val="none"/>
        </w:rPr>
        <w:t>监管部门责令</w:t>
      </w:r>
      <w:r>
        <w:rPr>
          <w:rFonts w:hint="eastAsia" w:ascii="宋体" w:hAnsi="宋体"/>
          <w:bCs/>
          <w:sz w:val="22"/>
          <w:szCs w:val="22"/>
          <w:highlight w:val="none"/>
          <w:lang w:val="en-US" w:eastAsia="zh-CN"/>
        </w:rPr>
        <w:t>停产</w:t>
      </w:r>
      <w:r>
        <w:rPr>
          <w:rFonts w:hint="eastAsia" w:ascii="宋体" w:hAnsi="宋体"/>
          <w:bCs/>
          <w:sz w:val="22"/>
          <w:szCs w:val="22"/>
          <w:highlight w:val="none"/>
        </w:rPr>
        <w:t>停业整顿；</w:t>
      </w:r>
    </w:p>
    <w:p w14:paraId="3FCF17F7">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default" w:ascii="宋体" w:hAnsi="宋体"/>
          <w:bCs/>
          <w:sz w:val="22"/>
          <w:szCs w:val="22"/>
          <w:highlight w:val="none"/>
          <w:lang w:val="en-US"/>
        </w:rPr>
        <w:t>一年内未发</w:t>
      </w:r>
      <w:r>
        <w:rPr>
          <w:rFonts w:hint="eastAsia" w:ascii="宋体" w:hAnsi="宋体"/>
          <w:bCs/>
          <w:sz w:val="22"/>
          <w:szCs w:val="22"/>
          <w:highlight w:val="none"/>
          <w:lang w:val="en-US" w:eastAsia="zh-CN"/>
        </w:rPr>
        <w:t>生</w:t>
      </w:r>
      <w:r>
        <w:rPr>
          <w:rFonts w:hint="eastAsia" w:ascii="宋体" w:hAnsi="宋体"/>
          <w:bCs/>
          <w:sz w:val="22"/>
          <w:szCs w:val="22"/>
          <w:highlight w:val="none"/>
        </w:rPr>
        <w:t>被行政监管部门责令</w:t>
      </w:r>
      <w:r>
        <w:rPr>
          <w:rFonts w:hint="eastAsia" w:ascii="宋体" w:hAnsi="宋体"/>
          <w:bCs/>
          <w:sz w:val="22"/>
          <w:szCs w:val="22"/>
          <w:highlight w:val="none"/>
          <w:lang w:val="en-US" w:eastAsia="zh-CN"/>
        </w:rPr>
        <w:t>停产</w:t>
      </w:r>
      <w:r>
        <w:rPr>
          <w:rFonts w:hint="eastAsia" w:ascii="宋体" w:hAnsi="宋体"/>
          <w:bCs/>
          <w:sz w:val="22"/>
          <w:szCs w:val="22"/>
          <w:highlight w:val="none"/>
        </w:rPr>
        <w:t>停业整顿的重大质量事故</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适用于QMS，MDMS</w:t>
      </w:r>
      <w:r>
        <w:rPr>
          <w:rFonts w:hint="eastAsia" w:ascii="宋体" w:hAnsi="宋体"/>
          <w:bCs/>
          <w:sz w:val="22"/>
          <w:szCs w:val="22"/>
          <w:highlight w:val="none"/>
          <w:lang w:eastAsia="zh-CN"/>
        </w:rPr>
        <w:t>）</w:t>
      </w:r>
      <w:r>
        <w:rPr>
          <w:rFonts w:hint="eastAsia" w:ascii="宋体" w:hAnsi="宋体"/>
          <w:bCs/>
          <w:sz w:val="22"/>
          <w:szCs w:val="22"/>
          <w:highlight w:val="none"/>
        </w:rPr>
        <w:t>；</w:t>
      </w:r>
    </w:p>
    <w:p w14:paraId="5B81BD80">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lang w:val="en-US" w:eastAsia="zh-CN"/>
        </w:rPr>
        <w:t>一年内未发生被行政将官部门责令停产停业整顿的突发环境事件（适用于EMS，突发环境事件及其级别的判定依据《国家突发环境事件应急预案》）</w:t>
      </w:r>
    </w:p>
    <w:p w14:paraId="6A52F127">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一年内未发生重大生产安全事故</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适用于OHSMS,</w:t>
      </w:r>
      <w:r>
        <w:rPr>
          <w:rFonts w:hint="eastAsia" w:ascii="宋体" w:hAnsi="宋体" w:eastAsia="宋体"/>
          <w:bCs/>
          <w:sz w:val="22"/>
          <w:szCs w:val="22"/>
          <w:highlight w:val="none"/>
        </w:rPr>
        <w:t>事故等级划分依据《生产安全事故报告和调查处理条例》</w:t>
      </w:r>
      <w:r>
        <w:rPr>
          <w:rFonts w:hint="eastAsia" w:ascii="宋体" w:hAnsi="宋体"/>
          <w:bCs/>
          <w:sz w:val="22"/>
          <w:szCs w:val="22"/>
          <w:highlight w:val="none"/>
          <w:lang w:eastAsia="zh-CN"/>
        </w:rPr>
        <w:t>）</w:t>
      </w:r>
      <w:r>
        <w:rPr>
          <w:rFonts w:hint="eastAsia" w:ascii="宋体" w:hAnsi="宋体"/>
          <w:bCs/>
          <w:sz w:val="22"/>
          <w:szCs w:val="22"/>
          <w:highlight w:val="none"/>
        </w:rPr>
        <w:t>；</w:t>
      </w:r>
    </w:p>
    <w:p w14:paraId="664AEBD1">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一年内未发生重大及以上级别的网络安全事件</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 xml:space="preserve">适用于ISMS, </w:t>
      </w:r>
      <w:r>
        <w:rPr>
          <w:rFonts w:hint="eastAsia" w:ascii="宋体" w:hAnsi="宋体"/>
          <w:bCs/>
          <w:sz w:val="22"/>
          <w:szCs w:val="22"/>
          <w:highlight w:val="none"/>
        </w:rPr>
        <w:t>网络安全事件级别依据GB/T 20986判定</w:t>
      </w:r>
      <w:r>
        <w:rPr>
          <w:rFonts w:hint="eastAsia" w:ascii="宋体" w:hAnsi="宋体"/>
          <w:bCs/>
          <w:sz w:val="22"/>
          <w:szCs w:val="22"/>
          <w:highlight w:val="none"/>
          <w:lang w:val="en-US" w:eastAsia="zh-CN"/>
        </w:rPr>
        <w:t>)</w:t>
      </w:r>
    </w:p>
    <w:p w14:paraId="6483EBFA">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在国家企业信用信息公示系统（</w:t>
      </w:r>
      <w:r>
        <w:rPr>
          <w:rFonts w:ascii="宋体" w:hAnsi="宋体"/>
          <w:bCs/>
          <w:sz w:val="22"/>
          <w:szCs w:val="22"/>
          <w:highlight w:val="none"/>
        </w:rPr>
        <w:t>http://www.gsxt.gov.cn</w:t>
      </w:r>
      <w:r>
        <w:rPr>
          <w:rFonts w:hint="eastAsia" w:ascii="宋体" w:hAnsi="宋体"/>
          <w:bCs/>
          <w:sz w:val="22"/>
          <w:szCs w:val="22"/>
          <w:highlight w:val="none"/>
        </w:rPr>
        <w:t>）和信用中国（https://www.creditchina.gov.cn）系统中，本组织未被列入“严重违法失信名单”</w:t>
      </w:r>
      <w:r>
        <w:rPr>
          <w:rFonts w:hint="eastAsia" w:ascii="宋体" w:hAnsi="宋体"/>
          <w:bCs/>
          <w:sz w:val="22"/>
          <w:szCs w:val="22"/>
          <w:highlight w:val="none"/>
          <w:lang w:eastAsia="zh-CN"/>
        </w:rPr>
        <w:t>；</w:t>
      </w:r>
    </w:p>
    <w:p w14:paraId="626439E1">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lang w:val="en-US" w:eastAsia="zh-CN"/>
        </w:rPr>
        <w:t>未被应急管理部门列入安全生产严重失信主体名单（适用于OHSMS）；</w:t>
      </w:r>
    </w:p>
    <w:p w14:paraId="460E6EF9">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eastAsia="宋体"/>
          <w:bCs/>
          <w:sz w:val="22"/>
          <w:szCs w:val="22"/>
          <w:highlight w:val="none"/>
        </w:rPr>
        <w:t>申请</w:t>
      </w:r>
      <w:r>
        <w:rPr>
          <w:rFonts w:hint="eastAsia" w:ascii="宋体" w:hAnsi="宋体"/>
          <w:bCs/>
          <w:sz w:val="22"/>
          <w:szCs w:val="22"/>
          <w:highlight w:val="none"/>
          <w:lang w:val="en-US" w:eastAsia="zh-CN"/>
        </w:rPr>
        <w:t>QMS</w:t>
      </w:r>
      <w:r>
        <w:rPr>
          <w:rFonts w:hint="eastAsia" w:ascii="宋体" w:hAnsi="宋体" w:eastAsia="宋体"/>
          <w:bCs/>
          <w:sz w:val="22"/>
          <w:szCs w:val="22"/>
          <w:highlight w:val="none"/>
        </w:rPr>
        <w:t>认证范围内的产品</w:t>
      </w:r>
      <w:r>
        <w:rPr>
          <w:rFonts w:hint="eastAsia" w:ascii="宋体" w:hAnsi="宋体"/>
          <w:bCs/>
          <w:sz w:val="22"/>
          <w:szCs w:val="22"/>
          <w:highlight w:val="none"/>
          <w:lang w:val="en-US" w:eastAsia="zh-CN"/>
        </w:rPr>
        <w:t>未</w:t>
      </w:r>
      <w:r>
        <w:rPr>
          <w:rFonts w:hint="eastAsia" w:ascii="宋体" w:hAnsi="宋体" w:eastAsia="宋体"/>
          <w:bCs/>
          <w:sz w:val="22"/>
          <w:szCs w:val="22"/>
          <w:highlight w:val="none"/>
        </w:rPr>
        <w:t>发生产品质量国家监督抽查不合格，</w:t>
      </w:r>
      <w:r>
        <w:rPr>
          <w:rFonts w:hint="eastAsia" w:ascii="宋体" w:hAnsi="宋体"/>
          <w:bCs/>
          <w:sz w:val="22"/>
          <w:szCs w:val="22"/>
          <w:highlight w:val="none"/>
          <w:lang w:val="en-US" w:eastAsia="zh-CN"/>
        </w:rPr>
        <w:t>或已</w:t>
      </w:r>
      <w:r>
        <w:rPr>
          <w:rFonts w:hint="eastAsia" w:ascii="宋体" w:hAnsi="宋体" w:eastAsia="宋体"/>
          <w:bCs/>
          <w:sz w:val="22"/>
          <w:szCs w:val="22"/>
          <w:highlight w:val="none"/>
        </w:rPr>
        <w:t>按</w:t>
      </w:r>
      <w:r>
        <w:rPr>
          <w:rFonts w:hint="eastAsia" w:ascii="宋体" w:hAnsi="宋体"/>
          <w:bCs/>
          <w:sz w:val="22"/>
          <w:szCs w:val="22"/>
          <w:highlight w:val="none"/>
          <w:lang w:val="en-US" w:eastAsia="zh-CN"/>
        </w:rPr>
        <w:t>市场监管部门要求在期限内整改合格，并取得市场监管部门书面结论；</w:t>
      </w:r>
    </w:p>
    <w:p w14:paraId="2E84354A">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拟认证的OHSMS范围所覆盖的活动符合相关OH&amp;S法律法规要求，不存在故意的和持续的违法行为</w:t>
      </w:r>
      <w:r>
        <w:rPr>
          <w:rFonts w:hint="eastAsia" w:ascii="宋体" w:hAnsi="宋体"/>
          <w:bCs/>
          <w:sz w:val="22"/>
          <w:szCs w:val="22"/>
          <w:highlight w:val="none"/>
          <w:lang w:val="en-US" w:eastAsia="zh-CN"/>
        </w:rPr>
        <w:t>(适用于OHSMS);</w:t>
      </w:r>
    </w:p>
    <w:p w14:paraId="29493FD6">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其他应具备的条件。</w:t>
      </w:r>
    </w:p>
    <w:p w14:paraId="3400C551">
      <w:pPr>
        <w:spacing w:before="78" w:beforeLines="25" w:after="109" w:afterLines="35" w:line="276" w:lineRule="auto"/>
        <w:ind w:left="1018" w:leftChars="485"/>
        <w:rPr>
          <w:rFonts w:hint="eastAsia" w:ascii="宋体" w:hAnsi="宋体"/>
          <w:b/>
          <w:sz w:val="20"/>
          <w:szCs w:val="22"/>
          <w:highlight w:val="none"/>
        </w:rPr>
      </w:pPr>
      <w:r>
        <w:rPr>
          <w:rFonts w:hint="eastAsia" w:ascii="宋体" w:hAnsi="宋体"/>
          <w:b/>
          <w:sz w:val="20"/>
          <w:szCs w:val="22"/>
          <w:highlight w:val="none"/>
        </w:rPr>
        <w:t>注：如果发生因甲方未如实申报而导致乙方颁发的管理体系认证证书出现无效的情况而造成甲方的损失时，由甲方自行承担；由此而对乙方造成的损失(包括实际经济损失、为补救而产生的额外支出及乙方的名誉损失)则由甲方承担赔偿责任。</w:t>
      </w:r>
    </w:p>
    <w:p w14:paraId="1C9E72B2">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lang w:val="en-US" w:eastAsia="zh-CN"/>
        </w:rPr>
        <w:t>乙</w:t>
      </w:r>
      <w:r>
        <w:rPr>
          <w:rFonts w:hint="eastAsia" w:ascii="宋体" w:hAnsi="宋体"/>
          <w:bCs/>
          <w:sz w:val="22"/>
          <w:szCs w:val="22"/>
          <w:highlight w:val="none"/>
        </w:rPr>
        <w:t>方对获证组织未按要求通报的处置</w:t>
      </w:r>
    </w:p>
    <w:p w14:paraId="69D76A9E">
      <w:pPr>
        <w:pStyle w:val="13"/>
        <w:numPr>
          <w:ilvl w:val="0"/>
          <w:numId w:val="15"/>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如果发现获证组织未按要求进行信息通报，将根据需通报信息的内容、性质、严重程度，对获证组织予以书面告诫、对注册资格作出暂停或撤销的处置；</w:t>
      </w:r>
    </w:p>
    <w:p w14:paraId="50DE3C80">
      <w:pPr>
        <w:pStyle w:val="13"/>
        <w:numPr>
          <w:ilvl w:val="0"/>
          <w:numId w:val="15"/>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当获证组织发生了各类事故、事件、重大投诉、消费者的投诉或在各类监督抽查中存在不合格，如果未在三个工作日内向乙方进行通报，乙方将在获知信息后两个工作日内立即对其注册资格先行办理暂停（情况严重的则直接办理撤销），同时发出书面告知书要求企业对问题事实及后续的行动（包括纠正和纠正措施）及相关部门的后续处置结果（存在时）予以书面说明。获证组织应在接到通知后三个工作日内按照通知要求如实提交相关的资料。如果在接到通知后无充分理由不予配合的，乙方将从第四个工作日起对获证组织的注册资格作出撤销的处置。同时乙方将按照认证信息通报要求向上级主管机关通报；</w:t>
      </w:r>
    </w:p>
    <w:p w14:paraId="78C3D84F">
      <w:pPr>
        <w:pStyle w:val="13"/>
        <w:numPr>
          <w:ilvl w:val="0"/>
          <w:numId w:val="15"/>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当获证组织发生了各类事故、事件、重大投诉、消费者的投诉或在各类监督抽查中存在不合格未按上述要求向乙方通报，乙方在后续的例行监督、再认证审核或其他非例行的审核/检查中按规定向获证组织了解本周期是否发生前述事故、事件、投诉、不合格时，获证组织再次未能如实告知，该情况一旦被发现，乙方将根据问题的内容、性质、严重程度，立即对获证组织的注册资格作出暂停或撤销的处置。</w:t>
      </w:r>
    </w:p>
    <w:p w14:paraId="4DB71914">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lang w:val="en-US" w:eastAsia="zh-CN"/>
        </w:rPr>
        <w:t>甲方应接受乙方为</w:t>
      </w:r>
      <w:r>
        <w:rPr>
          <w:rFonts w:hint="eastAsia" w:ascii="宋体" w:hAnsi="宋体"/>
          <w:bCs/>
          <w:sz w:val="22"/>
          <w:szCs w:val="22"/>
          <w:highlight w:val="none"/>
        </w:rPr>
        <w:t>调查投诉、质量事故</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突发环境事件、安全事故、</w:t>
      </w:r>
      <w:r>
        <w:rPr>
          <w:rFonts w:hint="eastAsia" w:ascii="宋体" w:hAnsi="宋体"/>
          <w:bCs/>
          <w:sz w:val="22"/>
          <w:szCs w:val="22"/>
          <w:highlight w:val="none"/>
        </w:rPr>
        <w:t>重大及以上级别的网络安全事件，对变更做出回应或</w:t>
      </w:r>
      <w:r>
        <w:rPr>
          <w:rFonts w:hint="eastAsia" w:ascii="宋体" w:hAnsi="宋体"/>
          <w:bCs/>
          <w:sz w:val="22"/>
          <w:szCs w:val="22"/>
          <w:highlight w:val="none"/>
          <w:lang w:val="en-US" w:eastAsia="zh-CN"/>
        </w:rPr>
        <w:t>对暂停进</w:t>
      </w:r>
      <w:r>
        <w:rPr>
          <w:rFonts w:hint="eastAsia" w:ascii="宋体" w:hAnsi="宋体"/>
          <w:bCs/>
          <w:sz w:val="22"/>
          <w:szCs w:val="22"/>
          <w:highlight w:val="none"/>
        </w:rPr>
        <w:t>行追踪</w:t>
      </w:r>
      <w:r>
        <w:rPr>
          <w:rFonts w:hint="eastAsia" w:ascii="宋体" w:hAnsi="宋体"/>
          <w:bCs/>
          <w:sz w:val="22"/>
          <w:szCs w:val="22"/>
          <w:highlight w:val="none"/>
          <w:lang w:val="en-US" w:eastAsia="zh-CN"/>
        </w:rPr>
        <w:t>时安排的</w:t>
      </w:r>
      <w:r>
        <w:rPr>
          <w:rFonts w:hint="eastAsia" w:ascii="宋体" w:hAnsi="宋体"/>
          <w:bCs/>
          <w:sz w:val="22"/>
          <w:szCs w:val="22"/>
          <w:highlight w:val="none"/>
        </w:rPr>
        <w:t>提前较短时间或不通知</w:t>
      </w:r>
      <w:r>
        <w:rPr>
          <w:rFonts w:hint="eastAsia" w:ascii="宋体" w:hAnsi="宋体"/>
          <w:bCs/>
          <w:sz w:val="22"/>
          <w:szCs w:val="22"/>
          <w:highlight w:val="none"/>
          <w:lang w:val="en-US" w:eastAsia="zh-CN"/>
        </w:rPr>
        <w:t>甲方</w:t>
      </w:r>
      <w:r>
        <w:rPr>
          <w:rFonts w:hint="eastAsia" w:ascii="宋体" w:hAnsi="宋体"/>
          <w:bCs/>
          <w:sz w:val="22"/>
          <w:szCs w:val="22"/>
          <w:highlight w:val="none"/>
          <w:lang w:eastAsia="zh-CN"/>
        </w:rPr>
        <w:t>的</w:t>
      </w:r>
      <w:r>
        <w:rPr>
          <w:rFonts w:hint="eastAsia" w:ascii="宋体" w:hAnsi="宋体"/>
          <w:bCs/>
          <w:sz w:val="22"/>
          <w:szCs w:val="22"/>
          <w:highlight w:val="none"/>
          <w:lang w:val="en-US" w:eastAsia="zh-CN"/>
        </w:rPr>
        <w:t>审核。</w:t>
      </w:r>
    </w:p>
    <w:p w14:paraId="0C4E386D">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lang w:val="en-US" w:eastAsia="zh-CN"/>
        </w:rPr>
        <w:t>甲方获得质量管理体系认证后，</w:t>
      </w:r>
      <w:r>
        <w:rPr>
          <w:rFonts w:hint="eastAsia" w:ascii="宋体" w:hAnsi="宋体"/>
          <w:bCs/>
          <w:sz w:val="22"/>
          <w:szCs w:val="22"/>
          <w:highlight w:val="none"/>
        </w:rPr>
        <w:t>认证范围内的产品</w:t>
      </w:r>
      <w:r>
        <w:rPr>
          <w:rFonts w:hint="eastAsia" w:ascii="宋体" w:hAnsi="宋体"/>
          <w:bCs/>
          <w:sz w:val="22"/>
          <w:szCs w:val="22"/>
          <w:highlight w:val="none"/>
          <w:lang w:val="en-US" w:eastAsia="zh-CN"/>
        </w:rPr>
        <w:t>在产品</w:t>
      </w:r>
      <w:r>
        <w:rPr>
          <w:rFonts w:hint="eastAsia" w:ascii="宋体" w:hAnsi="宋体"/>
          <w:bCs/>
          <w:sz w:val="22"/>
          <w:szCs w:val="22"/>
          <w:highlight w:val="none"/>
        </w:rPr>
        <w:t>质量</w:t>
      </w:r>
      <w:r>
        <w:rPr>
          <w:rFonts w:hint="eastAsia" w:ascii="宋体" w:hAnsi="宋体"/>
          <w:bCs/>
          <w:sz w:val="22"/>
          <w:szCs w:val="22"/>
          <w:highlight w:val="none"/>
          <w:lang w:val="en-US" w:eastAsia="zh-CN"/>
        </w:rPr>
        <w:t>国家抽查中被</w:t>
      </w:r>
      <w:r>
        <w:rPr>
          <w:rFonts w:hint="eastAsia" w:ascii="宋体" w:hAnsi="宋体"/>
          <w:bCs/>
          <w:sz w:val="22"/>
          <w:szCs w:val="22"/>
          <w:highlight w:val="none"/>
        </w:rPr>
        <w:t>查出不合格时，自市场监督部门发出通报起30日内，甲方应接受乙方安排的提前较短时间通知的审核；其他方面的不合格参照执行。</w:t>
      </w:r>
    </w:p>
    <w:p w14:paraId="2FD76C77">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现场审核前，甲方应对乙方提交的审核计划进行确认，并对审核过程中审核组执行审核计划的情况进行监督。由于审核计划执行过程出现问题导致审核无效或认证证书失效，由过错方承担法律责任。</w:t>
      </w:r>
    </w:p>
    <w:p w14:paraId="118BC553">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乙方官网上</w:t>
      </w:r>
      <w:r>
        <w:rPr>
          <w:rFonts w:hint="eastAsia" w:ascii="宋体" w:hAnsi="宋体"/>
          <w:bCs/>
          <w:sz w:val="22"/>
          <w:szCs w:val="22"/>
          <w:highlight w:val="none"/>
        </w:rPr>
        <w:fldChar w:fldCharType="begin"/>
      </w:r>
      <w:r>
        <w:rPr>
          <w:rFonts w:hint="eastAsia" w:ascii="宋体" w:hAnsi="宋体"/>
          <w:bCs/>
          <w:sz w:val="22"/>
          <w:szCs w:val="22"/>
          <w:highlight w:val="none"/>
        </w:rPr>
        <w:instrText xml:space="preserve"> HYPERLINK "http://www.snqa.com.cn/gkwj/index.jhtml" </w:instrText>
      </w:r>
      <w:r>
        <w:rPr>
          <w:rFonts w:hint="eastAsia" w:ascii="宋体" w:hAnsi="宋体"/>
          <w:bCs/>
          <w:sz w:val="22"/>
          <w:szCs w:val="22"/>
          <w:highlight w:val="none"/>
        </w:rPr>
        <w:fldChar w:fldCharType="separate"/>
      </w:r>
      <w:r>
        <w:rPr>
          <w:rStyle w:val="6"/>
          <w:rFonts w:hint="eastAsia" w:ascii="宋体" w:hAnsi="宋体"/>
          <w:bCs/>
          <w:sz w:val="22"/>
          <w:szCs w:val="22"/>
          <w:highlight w:val="none"/>
        </w:rPr>
        <w:t>http://www.snqa.com.cn</w:t>
      </w:r>
      <w:r>
        <w:rPr>
          <w:rFonts w:hint="eastAsia" w:ascii="宋体" w:hAnsi="宋体"/>
          <w:bCs/>
          <w:sz w:val="22"/>
          <w:szCs w:val="22"/>
          <w:highlight w:val="none"/>
        </w:rPr>
        <w:fldChar w:fldCharType="end"/>
      </w:r>
      <w:r>
        <w:rPr>
          <w:rFonts w:hint="eastAsia" w:ascii="宋体" w:hAnsi="宋体"/>
          <w:bCs/>
          <w:sz w:val="22"/>
          <w:szCs w:val="22"/>
          <w:highlight w:val="none"/>
        </w:rPr>
        <w:t>所登载的Kiwa通用条款和条件同样也适用于本合同，甲乙双方同意遵守。</w:t>
      </w:r>
    </w:p>
    <w:p w14:paraId="7668D3EA">
      <w:pPr>
        <w:numPr>
          <w:ilvl w:val="0"/>
          <w:numId w:val="11"/>
        </w:numPr>
        <w:spacing w:before="78" w:beforeLines="25" w:after="109" w:afterLines="35" w:line="276" w:lineRule="auto"/>
        <w:rPr>
          <w:rFonts w:hint="eastAsia" w:ascii="宋体" w:hAnsi="宋体"/>
          <w:bCs/>
          <w:sz w:val="22"/>
          <w:szCs w:val="22"/>
          <w:highlight w:val="none"/>
        </w:rPr>
      </w:pPr>
      <w:r>
        <w:rPr>
          <w:rFonts w:ascii="宋体" w:hAnsi="宋体"/>
          <w:bCs/>
          <w:sz w:val="22"/>
          <w:szCs w:val="22"/>
          <w:highlight w:val="none"/>
        </w:rPr>
        <w:t>中国国家认证认可监督管理委员会官方网站</w:t>
      </w:r>
      <w:r>
        <w:rPr>
          <w:highlight w:val="none"/>
        </w:rPr>
        <w:fldChar w:fldCharType="begin"/>
      </w:r>
      <w:r>
        <w:rPr>
          <w:highlight w:val="none"/>
        </w:rPr>
        <w:instrText xml:space="preserve"> HYPERLINK "http://www.cnca.gov.cn" </w:instrText>
      </w:r>
      <w:r>
        <w:rPr>
          <w:highlight w:val="none"/>
        </w:rPr>
        <w:fldChar w:fldCharType="separate"/>
      </w:r>
      <w:r>
        <w:rPr>
          <w:rFonts w:ascii="宋体" w:hAnsi="宋体"/>
          <w:bCs/>
          <w:sz w:val="22"/>
          <w:szCs w:val="22"/>
          <w:highlight w:val="none"/>
        </w:rPr>
        <w:t>http://www.cnca.gov.cn</w:t>
      </w:r>
      <w:r>
        <w:rPr>
          <w:rFonts w:ascii="宋体" w:hAnsi="宋体"/>
          <w:bCs/>
          <w:sz w:val="22"/>
          <w:szCs w:val="22"/>
          <w:highlight w:val="none"/>
        </w:rPr>
        <w:fldChar w:fldCharType="end"/>
      </w:r>
      <w:r>
        <w:rPr>
          <w:rFonts w:ascii="宋体" w:hAnsi="宋体"/>
          <w:bCs/>
          <w:sz w:val="22"/>
          <w:szCs w:val="22"/>
          <w:highlight w:val="none"/>
        </w:rPr>
        <w:t xml:space="preserve"> 中刊</w:t>
      </w:r>
      <w:r>
        <w:rPr>
          <w:rFonts w:hint="eastAsia" w:ascii="宋体" w:hAnsi="宋体"/>
          <w:bCs/>
          <w:sz w:val="22"/>
          <w:szCs w:val="22"/>
          <w:highlight w:val="none"/>
        </w:rPr>
        <w:t>载的与甲方履行本合同义务相关信息,如《质量管理体系认证规则》亦是甲方在本合同履行期间应遵守的义务。</w:t>
      </w:r>
    </w:p>
    <w:p w14:paraId="2E96AB2D">
      <w:pPr>
        <w:numPr>
          <w:ilvl w:val="0"/>
          <w:numId w:val="9"/>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乙方的权利和义务</w:t>
      </w:r>
    </w:p>
    <w:p w14:paraId="653197DD">
      <w:pPr>
        <w:numPr>
          <w:ilvl w:val="2"/>
          <w:numId w:val="16"/>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权  利：</w:t>
      </w:r>
    </w:p>
    <w:p w14:paraId="3A9BF42B">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有权依据相关法律法规和现场审核结论，确定甲方认证注册范围；决定是否给予甲方认证注册和颁发证书。</w:t>
      </w:r>
    </w:p>
    <w:p w14:paraId="0BF2EB45">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有权依据甲方的违规行为，作出暂停、注销或撤销甲方认证注册资格，收回证书的决定。</w:t>
      </w:r>
    </w:p>
    <w:p w14:paraId="01385AC9">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有权在认可监管机构网站公开甲方认证状态信息，包括甲方名称和地址、认证范围、认证证书的有效期和证书状态等，并定期更新这些信息。</w:t>
      </w:r>
    </w:p>
    <w:p w14:paraId="69FF84A5">
      <w:pPr>
        <w:numPr>
          <w:ilvl w:val="0"/>
          <w:numId w:val="17"/>
        </w:numPr>
        <w:spacing w:before="78" w:beforeLines="25" w:after="109" w:afterLines="35" w:line="276" w:lineRule="auto"/>
        <w:rPr>
          <w:rFonts w:hint="eastAsia" w:ascii="宋体" w:hAnsi="宋体"/>
          <w:bCs/>
          <w:sz w:val="22"/>
          <w:szCs w:val="22"/>
          <w:highlight w:val="none"/>
        </w:rPr>
      </w:pPr>
      <w:r>
        <w:rPr>
          <w:rFonts w:ascii="宋体" w:hAnsi="宋体"/>
          <w:bCs/>
          <w:sz w:val="22"/>
          <w:szCs w:val="22"/>
          <w:highlight w:val="none"/>
        </w:rPr>
        <w:t>有权向认可监管机构发布审核报告信息</w:t>
      </w:r>
      <w:r>
        <w:rPr>
          <w:rFonts w:hint="eastAsia" w:ascii="宋体" w:hAnsi="宋体"/>
          <w:bCs/>
          <w:sz w:val="22"/>
          <w:szCs w:val="22"/>
          <w:highlight w:val="none"/>
        </w:rPr>
        <w:t>。</w:t>
      </w:r>
    </w:p>
    <w:p w14:paraId="1954B5B9">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lang w:val="en-US" w:eastAsia="zh-CN"/>
        </w:rPr>
        <w:t>为</w:t>
      </w:r>
      <w:r>
        <w:rPr>
          <w:rFonts w:hint="eastAsia" w:ascii="宋体" w:hAnsi="宋体"/>
          <w:bCs/>
          <w:sz w:val="22"/>
          <w:szCs w:val="22"/>
          <w:highlight w:val="none"/>
        </w:rPr>
        <w:t>调查投诉、质量事故</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突发环境事件、安全事故、</w:t>
      </w:r>
      <w:r>
        <w:rPr>
          <w:rFonts w:hint="eastAsia" w:ascii="宋体" w:hAnsi="宋体"/>
          <w:bCs/>
          <w:sz w:val="22"/>
          <w:szCs w:val="22"/>
          <w:highlight w:val="none"/>
        </w:rPr>
        <w:t>重大及以上级别的网络安全事件，对变更做出回应或</w:t>
      </w:r>
      <w:r>
        <w:rPr>
          <w:rFonts w:hint="eastAsia" w:ascii="宋体" w:hAnsi="宋体"/>
          <w:bCs/>
          <w:sz w:val="22"/>
          <w:szCs w:val="22"/>
          <w:highlight w:val="none"/>
          <w:lang w:val="en-US" w:eastAsia="zh-CN"/>
        </w:rPr>
        <w:t>对暂停进</w:t>
      </w:r>
      <w:r>
        <w:rPr>
          <w:rFonts w:hint="eastAsia" w:ascii="宋体" w:hAnsi="宋体"/>
          <w:bCs/>
          <w:sz w:val="22"/>
          <w:szCs w:val="22"/>
          <w:highlight w:val="none"/>
        </w:rPr>
        <w:t>行追踪</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乙方有权根据需要</w:t>
      </w:r>
      <w:r>
        <w:rPr>
          <w:rFonts w:hint="eastAsia" w:ascii="宋体" w:hAnsi="宋体"/>
          <w:bCs/>
          <w:sz w:val="22"/>
          <w:szCs w:val="22"/>
          <w:highlight w:val="none"/>
        </w:rPr>
        <w:t>提前较短时间或</w:t>
      </w:r>
      <w:r>
        <w:rPr>
          <w:rFonts w:hint="eastAsia" w:ascii="宋体" w:hAnsi="宋体"/>
          <w:bCs/>
          <w:sz w:val="22"/>
          <w:szCs w:val="22"/>
          <w:highlight w:val="none"/>
          <w:lang w:val="en-US" w:eastAsia="zh-CN"/>
        </w:rPr>
        <w:t>在</w:t>
      </w:r>
      <w:r>
        <w:rPr>
          <w:rFonts w:hint="eastAsia" w:ascii="宋体" w:hAnsi="宋体"/>
          <w:bCs/>
          <w:sz w:val="22"/>
          <w:szCs w:val="22"/>
          <w:highlight w:val="none"/>
        </w:rPr>
        <w:t>不通知</w:t>
      </w:r>
      <w:r>
        <w:rPr>
          <w:rFonts w:hint="eastAsia" w:ascii="宋体" w:hAnsi="宋体"/>
          <w:bCs/>
          <w:sz w:val="22"/>
          <w:szCs w:val="22"/>
          <w:highlight w:val="none"/>
          <w:lang w:val="en-US" w:eastAsia="zh-CN"/>
        </w:rPr>
        <w:t>甲方</w:t>
      </w:r>
      <w:r>
        <w:rPr>
          <w:rFonts w:hint="eastAsia" w:ascii="宋体" w:hAnsi="宋体"/>
          <w:bCs/>
          <w:sz w:val="22"/>
          <w:szCs w:val="22"/>
          <w:highlight w:val="none"/>
          <w:lang w:eastAsia="zh-CN"/>
        </w:rPr>
        <w:t>的</w:t>
      </w:r>
      <w:r>
        <w:rPr>
          <w:rFonts w:hint="eastAsia" w:ascii="宋体" w:hAnsi="宋体"/>
          <w:bCs/>
          <w:sz w:val="22"/>
          <w:szCs w:val="22"/>
          <w:highlight w:val="none"/>
          <w:lang w:val="en-US" w:eastAsia="zh-CN"/>
        </w:rPr>
        <w:t>情况下安排对甲方的审核。</w:t>
      </w:r>
    </w:p>
    <w:p w14:paraId="0A908D8E">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。如甲方的</w:t>
      </w:r>
      <w:r>
        <w:rPr>
          <w:rFonts w:hint="eastAsia" w:ascii="宋体" w:hAnsi="宋体"/>
          <w:bCs/>
          <w:sz w:val="22"/>
          <w:szCs w:val="22"/>
          <w:highlight w:val="none"/>
          <w:lang w:val="en-US" w:eastAsia="zh-CN"/>
        </w:rPr>
        <w:t>认证范围内的</w:t>
      </w:r>
      <w:r>
        <w:rPr>
          <w:rFonts w:hint="eastAsia" w:ascii="宋体" w:hAnsi="宋体"/>
          <w:bCs/>
          <w:sz w:val="22"/>
          <w:szCs w:val="22"/>
          <w:highlight w:val="none"/>
        </w:rPr>
        <w:t>产品在产品质量国家监督抽查中被查出不合格时，甲方应在5日内向乙方通报，同时自</w:t>
      </w:r>
      <w:r>
        <w:rPr>
          <w:rFonts w:hint="eastAsia" w:ascii="宋体" w:hAnsi="宋体"/>
          <w:bCs/>
          <w:sz w:val="22"/>
          <w:szCs w:val="22"/>
          <w:highlight w:val="none"/>
          <w:lang w:val="en-US" w:eastAsia="zh-CN"/>
        </w:rPr>
        <w:t>市场监督部门</w:t>
      </w:r>
      <w:r>
        <w:rPr>
          <w:rFonts w:hint="eastAsia" w:ascii="宋体" w:hAnsi="宋体"/>
          <w:bCs/>
          <w:sz w:val="22"/>
          <w:szCs w:val="22"/>
          <w:highlight w:val="none"/>
        </w:rPr>
        <w:t>发出通报起30日内，乙方应对甲方实施</w:t>
      </w:r>
      <w:r>
        <w:rPr>
          <w:rFonts w:hint="eastAsia" w:ascii="宋体" w:hAnsi="宋体"/>
          <w:bCs/>
          <w:sz w:val="22"/>
          <w:szCs w:val="22"/>
          <w:highlight w:val="none"/>
          <w:lang w:val="en-US" w:eastAsia="zh-CN"/>
        </w:rPr>
        <w:t>较短时间通知的</w:t>
      </w:r>
      <w:r>
        <w:rPr>
          <w:rFonts w:hint="eastAsia" w:ascii="宋体" w:hAnsi="宋体"/>
          <w:bCs/>
          <w:sz w:val="22"/>
          <w:szCs w:val="22"/>
          <w:highlight w:val="none"/>
        </w:rPr>
        <w:t>审核。</w:t>
      </w:r>
    </w:p>
    <w:p w14:paraId="669336D5">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有权根据组织提供或现场审核收集的信息，在证明组织的管理体系严重不满足认证要求后，做出暂停、撤销认证证书的决定。</w:t>
      </w:r>
    </w:p>
    <w:p w14:paraId="38AB76B3">
      <w:pPr>
        <w:numPr>
          <w:ilvl w:val="2"/>
          <w:numId w:val="16"/>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由于非乙方原因导致本合同不能继续履行或终止履行的，乙方所收取的费用不予退还。但当现场审核结论为不同意推荐认证注册时，应在现场审核结束后30日内退还甲方相应体系的审定与注册费。</w:t>
      </w:r>
    </w:p>
    <w:p w14:paraId="24F58B65">
      <w:pPr>
        <w:numPr>
          <w:ilvl w:val="2"/>
          <w:numId w:val="16"/>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义  务：</w:t>
      </w:r>
    </w:p>
    <w:p w14:paraId="7AF15769">
      <w:pPr>
        <w:numPr>
          <w:ilvl w:val="0"/>
          <w:numId w:val="1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严格遵守国家的法律、法规和认可机构的规定。</w:t>
      </w:r>
    </w:p>
    <w:p w14:paraId="17B3606A">
      <w:pPr>
        <w:numPr>
          <w:ilvl w:val="0"/>
          <w:numId w:val="1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按照认证程序、认证所依据的标准及本合同约定，客观公正地为甲方提供认证服务。</w:t>
      </w:r>
    </w:p>
    <w:p w14:paraId="3A67B1EF">
      <w:pPr>
        <w:numPr>
          <w:ilvl w:val="0"/>
          <w:numId w:val="1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维护认证机构批准资格。如乙方因批准资格问题导致甲方证书无法有效保持的，应在5个工作日内告知甲方</w:t>
      </w:r>
      <w:r>
        <w:rPr>
          <w:rFonts w:hint="eastAsia" w:ascii="宋体" w:hAnsi="宋体"/>
          <w:bCs/>
          <w:sz w:val="22"/>
          <w:szCs w:val="22"/>
          <w:highlight w:val="none"/>
          <w:lang w:eastAsia="zh-CN"/>
        </w:rPr>
        <w:t>。</w:t>
      </w:r>
      <w:r>
        <w:rPr>
          <w:rFonts w:hint="eastAsia" w:ascii="宋体" w:hAnsi="宋体"/>
          <w:bCs/>
          <w:sz w:val="22"/>
          <w:szCs w:val="22"/>
          <w:highlight w:val="none"/>
        </w:rPr>
        <w:t>造成</w:t>
      </w:r>
      <w:r>
        <w:rPr>
          <w:rFonts w:hint="eastAsia" w:ascii="宋体" w:hAnsi="宋体"/>
          <w:bCs/>
          <w:sz w:val="22"/>
          <w:szCs w:val="22"/>
          <w:highlight w:val="none"/>
          <w:lang w:val="en-US" w:eastAsia="zh-CN"/>
        </w:rPr>
        <w:t>甲</w:t>
      </w:r>
      <w:r>
        <w:rPr>
          <w:rFonts w:hint="eastAsia" w:ascii="宋体" w:hAnsi="宋体"/>
          <w:bCs/>
          <w:sz w:val="22"/>
          <w:szCs w:val="22"/>
          <w:highlight w:val="none"/>
        </w:rPr>
        <w:t>方损失的，</w:t>
      </w:r>
      <w:r>
        <w:rPr>
          <w:rFonts w:hint="eastAsia" w:ascii="宋体" w:hAnsi="宋体"/>
          <w:bCs/>
          <w:sz w:val="22"/>
          <w:szCs w:val="22"/>
          <w:highlight w:val="none"/>
          <w:lang w:val="en-US" w:eastAsia="zh-CN"/>
        </w:rPr>
        <w:t>乙方应进行赔偿</w:t>
      </w:r>
      <w:r>
        <w:rPr>
          <w:rFonts w:hint="eastAsia" w:ascii="宋体" w:hAnsi="宋体"/>
          <w:bCs/>
          <w:sz w:val="22"/>
          <w:szCs w:val="22"/>
          <w:highlight w:val="none"/>
        </w:rPr>
        <w:t>，赔偿金额</w:t>
      </w:r>
      <w:r>
        <w:rPr>
          <w:rFonts w:hint="eastAsia" w:ascii="宋体" w:hAnsi="宋体"/>
          <w:bCs/>
          <w:sz w:val="22"/>
          <w:szCs w:val="22"/>
          <w:highlight w:val="none"/>
          <w:lang w:val="en-US" w:eastAsia="zh-CN"/>
        </w:rPr>
        <w:t>最高不超过乙</w:t>
      </w:r>
      <w:r>
        <w:rPr>
          <w:rFonts w:hint="default" w:ascii="宋体" w:hAnsi="宋体"/>
          <w:bCs/>
          <w:sz w:val="22"/>
          <w:szCs w:val="22"/>
          <w:highlight w:val="none"/>
        </w:rPr>
        <w:t>方</w:t>
      </w:r>
      <w:r>
        <w:rPr>
          <w:rFonts w:hint="eastAsia" w:ascii="宋体" w:hAnsi="宋体"/>
          <w:bCs/>
          <w:sz w:val="22"/>
          <w:szCs w:val="22"/>
          <w:highlight w:val="none"/>
        </w:rPr>
        <w:t>过去12个月内收到的甲方已支付认证费用</w:t>
      </w:r>
      <w:r>
        <w:rPr>
          <w:rFonts w:hint="eastAsia" w:ascii="宋体" w:hAnsi="宋体"/>
          <w:bCs/>
          <w:sz w:val="22"/>
          <w:szCs w:val="22"/>
          <w:highlight w:val="none"/>
          <w:lang w:eastAsia="zh-CN"/>
        </w:rPr>
        <w:t>的</w:t>
      </w:r>
      <w:r>
        <w:rPr>
          <w:rFonts w:hint="eastAsia" w:ascii="宋体" w:hAnsi="宋体"/>
          <w:bCs/>
          <w:sz w:val="22"/>
          <w:szCs w:val="22"/>
          <w:highlight w:val="none"/>
          <w:lang w:val="en-US" w:eastAsia="zh-CN"/>
        </w:rPr>
        <w:t>总额</w:t>
      </w:r>
      <w:r>
        <w:rPr>
          <w:rFonts w:hint="eastAsia" w:ascii="宋体" w:hAnsi="宋体"/>
          <w:bCs/>
          <w:sz w:val="22"/>
          <w:szCs w:val="22"/>
          <w:highlight w:val="none"/>
        </w:rPr>
        <w:t>。</w:t>
      </w:r>
    </w:p>
    <w:p w14:paraId="5786935B">
      <w:pPr>
        <w:numPr>
          <w:ilvl w:val="0"/>
          <w:numId w:val="1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严格保密承诺，不得将在认证过程中所知悉的甲方在经营、生产、技术、管理等方面的非公开信息以任何方式泄密给第三方。但下列情况除外：</w:t>
      </w:r>
    </w:p>
    <w:p w14:paraId="60CFE385">
      <w:pPr>
        <w:pStyle w:val="13"/>
        <w:numPr>
          <w:ilvl w:val="0"/>
          <w:numId w:val="19"/>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甲方已公开的信息；</w:t>
      </w:r>
    </w:p>
    <w:p w14:paraId="225860E0">
      <w:pPr>
        <w:pStyle w:val="13"/>
        <w:numPr>
          <w:ilvl w:val="0"/>
          <w:numId w:val="19"/>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得到甲方的书面同意；</w:t>
      </w:r>
    </w:p>
    <w:p w14:paraId="33893902">
      <w:pPr>
        <w:pStyle w:val="13"/>
        <w:numPr>
          <w:ilvl w:val="0"/>
          <w:numId w:val="19"/>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认可机构及监管机构需要时；</w:t>
      </w:r>
    </w:p>
    <w:p w14:paraId="325CCE14">
      <w:pPr>
        <w:pStyle w:val="13"/>
        <w:numPr>
          <w:ilvl w:val="0"/>
          <w:numId w:val="19"/>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应法律或司法机关要求时。</w:t>
      </w:r>
    </w:p>
    <w:p w14:paraId="2D5AB2A1">
      <w:pPr>
        <w:spacing w:before="78" w:beforeLines="25" w:after="109" w:afterLines="35" w:line="276" w:lineRule="auto"/>
        <w:ind w:left="420" w:leftChars="200"/>
        <w:rPr>
          <w:rFonts w:hint="eastAsia" w:ascii="宋体" w:hAnsi="宋体"/>
          <w:bCs/>
          <w:sz w:val="22"/>
          <w:szCs w:val="22"/>
          <w:highlight w:val="none"/>
        </w:rPr>
      </w:pPr>
      <w:r>
        <w:rPr>
          <w:rFonts w:hint="eastAsia" w:ascii="宋体" w:hAnsi="宋体"/>
          <w:bCs/>
          <w:sz w:val="22"/>
          <w:szCs w:val="22"/>
          <w:highlight w:val="none"/>
        </w:rPr>
        <w:t>注：</w:t>
      </w:r>
      <w:r>
        <w:rPr>
          <w:rFonts w:hint="eastAsia" w:ascii="宋体" w:hAnsi="宋体"/>
          <w:b/>
          <w:bCs w:val="0"/>
          <w:sz w:val="20"/>
          <w:szCs w:val="22"/>
          <w:highlight w:val="none"/>
        </w:rPr>
        <w:t>除法律禁止外，乙方应将拟提供的信息提前通知甲方。特殊情况下，可以根据甲方要求（如出于安全原因），对乙方公开的甲方的名称、相关规范文件、认证范围和地理位置的公开程度作出限制。</w:t>
      </w:r>
    </w:p>
    <w:p w14:paraId="0B838A68">
      <w:pPr>
        <w:numPr>
          <w:ilvl w:val="0"/>
          <w:numId w:val="1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负责在乙方网站上发布甲方已获认证注册的信息，并按照认证认可法规的要求，在相关认可机构、认证监管机构平台上报甲方证书信息和证书状态。</w:t>
      </w:r>
    </w:p>
    <w:p w14:paraId="33FD176A">
      <w:pPr>
        <w:numPr>
          <w:ilvl w:val="255"/>
          <w:numId w:val="0"/>
        </w:numPr>
        <w:spacing w:before="78" w:beforeLines="25" w:after="109" w:afterLines="35" w:line="276" w:lineRule="auto"/>
        <w:ind w:left="0"/>
        <w:rPr>
          <w:rFonts w:hint="eastAsia" w:ascii="宋体" w:hAnsi="宋体"/>
          <w:bCs/>
          <w:sz w:val="22"/>
          <w:szCs w:val="22"/>
          <w:highlight w:val="none"/>
        </w:rPr>
      </w:pPr>
    </w:p>
    <w:p w14:paraId="506168EF">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合同的生效</w:t>
      </w:r>
    </w:p>
    <w:p w14:paraId="440378A8">
      <w:pPr>
        <w:numPr>
          <w:ilvl w:val="0"/>
          <w:numId w:val="20"/>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本合同一式</w:t>
      </w:r>
      <w:permStart w:id="47" w:edGrp="everyone"/>
      <w:r>
        <w:rPr>
          <w:rFonts w:hint="eastAsia" w:ascii="宋体" w:hAnsi="宋体"/>
          <w:bCs/>
          <w:sz w:val="22"/>
          <w:szCs w:val="22"/>
          <w:highlight w:val="none"/>
          <w:u w:val="single"/>
        </w:rPr>
        <w:t xml:space="preserve">    </w:t>
      </w:r>
      <w:permEnd w:id="47"/>
      <w:r>
        <w:rPr>
          <w:rFonts w:hint="eastAsia" w:ascii="宋体" w:hAnsi="宋体"/>
          <w:bCs/>
          <w:sz w:val="22"/>
          <w:szCs w:val="22"/>
          <w:highlight w:val="none"/>
        </w:rPr>
        <w:t>份，自甲乙双方签字盖章完成签署之日起生效，甲方执</w:t>
      </w:r>
      <w:permStart w:id="48" w:edGrp="everyone"/>
      <w:r>
        <w:rPr>
          <w:rFonts w:hint="eastAsia" w:ascii="宋体" w:hAnsi="宋体"/>
          <w:bCs/>
          <w:sz w:val="22"/>
          <w:szCs w:val="22"/>
          <w:highlight w:val="none"/>
          <w:u w:val="single"/>
        </w:rPr>
        <w:t xml:space="preserve">   </w:t>
      </w:r>
      <w:permEnd w:id="48"/>
      <w:r>
        <w:rPr>
          <w:rFonts w:hint="eastAsia" w:ascii="宋体" w:hAnsi="宋体"/>
          <w:bCs/>
          <w:sz w:val="22"/>
          <w:szCs w:val="22"/>
          <w:highlight w:val="none"/>
        </w:rPr>
        <w:t>份，乙方执</w:t>
      </w:r>
      <w:permStart w:id="49" w:edGrp="everyone"/>
      <w:r>
        <w:rPr>
          <w:rFonts w:hint="eastAsia" w:ascii="宋体" w:hAnsi="宋体"/>
          <w:bCs/>
          <w:sz w:val="22"/>
          <w:szCs w:val="22"/>
          <w:highlight w:val="none"/>
          <w:u w:val="single"/>
        </w:rPr>
        <w:t xml:space="preserve">    </w:t>
      </w:r>
      <w:permEnd w:id="49"/>
      <w:r>
        <w:rPr>
          <w:rFonts w:hint="eastAsia" w:ascii="宋体" w:hAnsi="宋体"/>
          <w:bCs/>
          <w:sz w:val="22"/>
          <w:szCs w:val="22"/>
          <w:highlight w:val="none"/>
        </w:rPr>
        <w:t>份。</w:t>
      </w:r>
    </w:p>
    <w:p w14:paraId="5438AB15">
      <w:pPr>
        <w:numPr>
          <w:ilvl w:val="0"/>
          <w:numId w:val="20"/>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本合同执行期间，双方所有的正式信息均应以书面形式文件表达（允许使用传真件、电子邮件）。</w:t>
      </w:r>
    </w:p>
    <w:p w14:paraId="1D082D9B">
      <w:pPr>
        <w:numPr>
          <w:ilvl w:val="0"/>
          <w:numId w:val="20"/>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本合同在未签署新的合同前长期有效，但甲方认证证书自然到期且未重新接受审核、撤销等情况除外。</w:t>
      </w:r>
    </w:p>
    <w:p w14:paraId="5DCA5924">
      <w:pPr>
        <w:numPr>
          <w:ilvl w:val="0"/>
          <w:numId w:val="20"/>
        </w:numPr>
        <w:spacing w:before="78" w:beforeLines="25" w:after="109" w:afterLines="35" w:line="276" w:lineRule="auto"/>
        <w:rPr>
          <w:rFonts w:hint="eastAsia" w:ascii="宋体" w:hAnsi="宋体"/>
          <w:bCs/>
          <w:sz w:val="22"/>
          <w:szCs w:val="22"/>
          <w:highlight w:val="none"/>
        </w:rPr>
      </w:pPr>
      <w:r>
        <w:rPr>
          <w:rFonts w:ascii="宋体" w:hAnsi="宋体"/>
          <w:bCs/>
          <w:sz w:val="22"/>
          <w:szCs w:val="22"/>
          <w:highlight w:val="none"/>
        </w:rPr>
        <w:t>ESD</w:t>
      </w:r>
      <w:r>
        <w:rPr>
          <w:rFonts w:hint="eastAsia" w:ascii="宋体" w:hAnsi="宋体"/>
          <w:bCs/>
          <w:sz w:val="22"/>
          <w:szCs w:val="22"/>
          <w:highlight w:val="none"/>
        </w:rPr>
        <w:t>项目签署此合同默认三年内有效，第一、二次再认证申请若无特殊要求只需提供认证《申请书》即可。</w:t>
      </w:r>
    </w:p>
    <w:p w14:paraId="36CA9F02">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合同争议的处理</w:t>
      </w:r>
    </w:p>
    <w:p w14:paraId="1642DCE8">
      <w:pPr>
        <w:spacing w:before="78" w:beforeLines="25" w:after="156" w:afterLines="50" w:line="276" w:lineRule="auto"/>
        <w:ind w:firstLine="440" w:firstLineChars="200"/>
        <w:rPr>
          <w:rFonts w:hint="eastAsia" w:ascii="宋体" w:hAnsi="宋体"/>
          <w:sz w:val="22"/>
          <w:szCs w:val="22"/>
          <w:highlight w:val="none"/>
        </w:rPr>
      </w:pPr>
      <w:r>
        <w:rPr>
          <w:rFonts w:hint="eastAsia" w:ascii="宋体" w:hAnsi="宋体"/>
          <w:sz w:val="22"/>
          <w:szCs w:val="22"/>
          <w:highlight w:val="none"/>
        </w:rPr>
        <w:t>因本合同所发生的争议，甲乙双方协商调解。协商调解不成，依法定程序向乙方所在地法院提出诉讼。</w:t>
      </w:r>
    </w:p>
    <w:p w14:paraId="1E216735">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违约责任</w:t>
      </w:r>
    </w:p>
    <w:p w14:paraId="02811534">
      <w:pPr>
        <w:spacing w:before="78" w:beforeLines="25" w:after="156" w:afterLines="50" w:line="276" w:lineRule="auto"/>
        <w:ind w:firstLine="440" w:firstLineChars="200"/>
        <w:rPr>
          <w:rFonts w:hint="eastAsia" w:ascii="宋体" w:hAnsi="宋体"/>
          <w:sz w:val="22"/>
          <w:szCs w:val="22"/>
          <w:highlight w:val="none"/>
        </w:rPr>
      </w:pPr>
      <w:r>
        <w:rPr>
          <w:rFonts w:hint="eastAsia" w:ascii="宋体" w:hAnsi="宋体"/>
          <w:sz w:val="22"/>
          <w:szCs w:val="22"/>
          <w:highlight w:val="none"/>
        </w:rPr>
        <w:t xml:space="preserve">甲乙双方必须认真执行合同，如签订合同后一方不能履行合同时，双方应协商解决。由于终止合同所产生的经济损失由责任方承担。发生不可抗力的情况除外（不可抗力应是法律上认可的）。 </w:t>
      </w:r>
    </w:p>
    <w:p w14:paraId="2D17212B">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合同更改</w:t>
      </w:r>
    </w:p>
    <w:p w14:paraId="6B6027B7">
      <w:pPr>
        <w:spacing w:before="78" w:beforeLines="25" w:after="156" w:afterLines="50" w:line="276" w:lineRule="auto"/>
        <w:ind w:firstLine="440" w:firstLineChars="200"/>
        <w:rPr>
          <w:rFonts w:hint="eastAsia" w:ascii="宋体" w:hAnsi="宋体"/>
          <w:sz w:val="22"/>
          <w:szCs w:val="22"/>
          <w:highlight w:val="none"/>
        </w:rPr>
      </w:pPr>
      <w:r>
        <w:rPr>
          <w:rFonts w:hint="eastAsia" w:ascii="宋体" w:hAnsi="宋体"/>
          <w:sz w:val="22"/>
          <w:szCs w:val="22"/>
          <w:highlight w:val="none"/>
        </w:rPr>
        <w:t>在合同有效期内，因合同一方提出变更合同条款时，经双方协商一致，应签署《合同更改补充协议》作为本合同的附件。补充协议中新条款生效后，本合同中与其相抵触的条款失效。</w:t>
      </w:r>
    </w:p>
    <w:p w14:paraId="62E0980E">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通知和送达</w:t>
      </w:r>
    </w:p>
    <w:p w14:paraId="5D364599">
      <w:pPr>
        <w:spacing w:before="78" w:beforeLines="25" w:after="156" w:afterLines="50" w:line="276" w:lineRule="auto"/>
        <w:ind w:firstLine="440" w:firstLineChars="200"/>
        <w:rPr>
          <w:rFonts w:hint="eastAsia" w:ascii="宋体" w:hAnsi="宋体"/>
          <w:sz w:val="22"/>
          <w:szCs w:val="22"/>
          <w:highlight w:val="none"/>
        </w:rPr>
      </w:pPr>
      <w:r>
        <w:rPr>
          <w:rFonts w:hint="eastAsia" w:ascii="宋体" w:hAnsi="宋体"/>
          <w:sz w:val="22"/>
          <w:szCs w:val="22"/>
          <w:highlight w:val="none"/>
        </w:rPr>
        <w:t>各方同意以本协议载明的通讯地址为有效送达地址，任何一方对上述地址有修改的，应及时通知另一方，否则仍以载明地址为准。甲方确认：乙方任何书面文件或通知送达下述联系人（含电子邮箱）视为有效送达，该联系人及邮箱作出的回复视为甲方的真实意思表示。甲方如变更上述联系人，须提前10个工作日通知乙方并附加盖公章的授权委托书。如因甲方未对本协议确定的联系地址、联系方式、指定联系人及其联系方式进行及时通知，导致乙方有关文件无法有效送达的，甲方不得对因此导致的任何不利或损失向乙方主张权利。</w:t>
      </w:r>
    </w:p>
    <w:p w14:paraId="0618E9BC">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其他事宜</w:t>
      </w:r>
    </w:p>
    <w:p w14:paraId="04CB7B09">
      <w:pPr>
        <w:numPr>
          <w:ilvl w:val="0"/>
          <w:numId w:val="2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甲方须按《管理体系认证申请书》的要求提交资料，乙方对申请书评审通过后方可安排审核。评审中涉及合同有关内容变更时，以双方文字确认为准。</w:t>
      </w:r>
    </w:p>
    <w:p w14:paraId="0D3BC26B">
      <w:pPr>
        <w:numPr>
          <w:ilvl w:val="0"/>
          <w:numId w:val="2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再认证前，甲方应重新向乙方提交《管理体系认证申请书》及所要求资料。</w:t>
      </w:r>
    </w:p>
    <w:p w14:paraId="489E348C">
      <w:pPr>
        <w:numPr>
          <w:ilvl w:val="0"/>
          <w:numId w:val="2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乙方授权乙方的分支机构</w:t>
      </w:r>
      <w:permStart w:id="50" w:edGrp="everyone"/>
      <w:r>
        <w:rPr>
          <w:rFonts w:hint="eastAsia" w:ascii="宋体" w:hAnsi="宋体"/>
          <w:bCs/>
          <w:sz w:val="22"/>
          <w:szCs w:val="22"/>
          <w:highlight w:val="none"/>
          <w:u w:val="single"/>
        </w:rPr>
        <w:t xml:space="preserve">                                 </w:t>
      </w:r>
      <w:permEnd w:id="50"/>
      <w:r>
        <w:rPr>
          <w:rFonts w:hint="eastAsia" w:ascii="宋体" w:hAnsi="宋体"/>
          <w:bCs/>
          <w:sz w:val="22"/>
          <w:szCs w:val="22"/>
          <w:highlight w:val="none"/>
        </w:rPr>
        <w:t>代表乙方收取认证费用。</w:t>
      </w:r>
    </w:p>
    <w:p w14:paraId="7852C91B">
      <w:pPr>
        <w:numPr>
          <w:ilvl w:val="0"/>
          <w:numId w:val="2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本合同未尽事宜，甲乙双方可协商订立补充条款作为本合同的附件。</w:t>
      </w:r>
    </w:p>
    <w:p w14:paraId="1A58B677">
      <w:pPr>
        <w:spacing w:before="78" w:beforeLines="25" w:after="109" w:afterLines="35" w:line="276" w:lineRule="auto"/>
        <w:rPr>
          <w:rFonts w:hint="eastAsia" w:ascii="宋体" w:hAnsi="宋体"/>
          <w:bCs/>
          <w:sz w:val="22"/>
          <w:szCs w:val="22"/>
          <w:highlight w:val="none"/>
        </w:rPr>
      </w:pPr>
    </w:p>
    <w:p w14:paraId="75CA7B8B">
      <w:pPr>
        <w:spacing w:before="78" w:beforeLines="25" w:after="109" w:afterLines="35" w:line="276" w:lineRule="auto"/>
        <w:rPr>
          <w:rFonts w:hint="eastAsia" w:ascii="宋体" w:hAnsi="宋体"/>
          <w:bCs/>
          <w:sz w:val="22"/>
          <w:szCs w:val="22"/>
          <w:highlight w:val="none"/>
        </w:rPr>
      </w:pPr>
    </w:p>
    <w:p w14:paraId="1AFA0061">
      <w:pPr>
        <w:spacing w:before="78" w:beforeLines="25" w:after="156" w:afterLines="50" w:line="276" w:lineRule="auto"/>
        <w:rPr>
          <w:rFonts w:hint="eastAsia" w:ascii="宋体" w:hAnsi="宋体"/>
          <w:b/>
          <w:sz w:val="22"/>
          <w:szCs w:val="22"/>
          <w:highlight w:val="none"/>
        </w:rPr>
      </w:pPr>
      <w:r>
        <w:rPr>
          <w:rFonts w:hint="eastAsia" w:ascii="宋体" w:hAnsi="宋体"/>
          <w:b/>
          <w:sz w:val="22"/>
          <w:szCs w:val="22"/>
          <w:highlight w:val="none"/>
        </w:rPr>
        <w:t>委托方（甲方）：</w:t>
      </w:r>
      <w:permStart w:id="51" w:edGrp="everyone"/>
      <w:r>
        <w:rPr>
          <w:rFonts w:hint="eastAsia" w:ascii="宋体" w:hAnsi="宋体"/>
          <w:b/>
          <w:sz w:val="22"/>
          <w:szCs w:val="22"/>
          <w:highlight w:val="none"/>
          <w:u w:val="single"/>
        </w:rPr>
        <w:t xml:space="preserve">                                                             </w:t>
      </w:r>
      <w:permEnd w:id="51"/>
    </w:p>
    <w:p w14:paraId="25C41098">
      <w:pPr>
        <w:spacing w:before="78" w:beforeLines="25" w:after="156" w:afterLines="50" w:line="276" w:lineRule="auto"/>
        <w:ind w:firstLine="0" w:firstLineChars="0"/>
        <w:rPr>
          <w:rFonts w:hint="eastAsia" w:ascii="宋体" w:hAnsi="宋体"/>
          <w:sz w:val="22"/>
          <w:szCs w:val="22"/>
          <w:highlight w:val="none"/>
          <w:u w:val="single"/>
        </w:rPr>
      </w:pPr>
      <w:r>
        <w:rPr>
          <w:rFonts w:hint="eastAsia" w:ascii="宋体" w:hAnsi="宋体"/>
          <w:sz w:val="22"/>
          <w:szCs w:val="22"/>
          <w:highlight w:val="none"/>
        </w:rPr>
        <w:t>通讯地址：</w:t>
      </w:r>
      <w:permStart w:id="52" w:edGrp="everyone"/>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p>
    <w:p w14:paraId="52206797">
      <w:pPr>
        <w:spacing w:before="78" w:beforeLines="25" w:after="156" w:afterLines="50" w:line="276" w:lineRule="auto"/>
        <w:ind w:firstLine="0" w:firstLineChars="0"/>
        <w:rPr>
          <w:rFonts w:hint="eastAsia" w:ascii="宋体" w:hAnsi="宋体"/>
          <w:sz w:val="22"/>
          <w:szCs w:val="22"/>
          <w:highlight w:val="none"/>
          <w:u w:val="single"/>
        </w:rPr>
      </w:pP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p>
    <w:permEnd w:id="52"/>
    <w:p w14:paraId="41EB2B5F">
      <w:pPr>
        <w:spacing w:before="78" w:beforeLines="25" w:after="156" w:afterLines="50" w:line="276" w:lineRule="auto"/>
        <w:rPr>
          <w:rFonts w:hint="eastAsia" w:ascii="宋体" w:hAnsi="宋体"/>
          <w:sz w:val="22"/>
          <w:szCs w:val="22"/>
          <w:highlight w:val="none"/>
          <w:u w:val="single"/>
        </w:rPr>
      </w:pPr>
      <w:r>
        <w:rPr>
          <w:rFonts w:hint="eastAsia" w:ascii="宋体" w:hAnsi="宋体"/>
          <w:sz w:val="22"/>
          <w:szCs w:val="22"/>
          <w:highlight w:val="none"/>
        </w:rPr>
        <w:t>联系人：</w:t>
      </w:r>
      <w:permStart w:id="53" w:edGrp="everyone"/>
      <w:r>
        <w:rPr>
          <w:rFonts w:hint="eastAsia" w:ascii="宋体" w:hAnsi="宋体"/>
          <w:sz w:val="22"/>
          <w:szCs w:val="22"/>
          <w:highlight w:val="none"/>
          <w:u w:val="single"/>
        </w:rPr>
        <w:t xml:space="preserve">                   </w:t>
      </w:r>
      <w:permEnd w:id="53"/>
      <w:r>
        <w:rPr>
          <w:rFonts w:hint="eastAsia" w:ascii="宋体" w:hAnsi="宋体"/>
          <w:sz w:val="22"/>
          <w:szCs w:val="22"/>
          <w:highlight w:val="none"/>
          <w:lang w:val="en-US" w:eastAsia="zh-CN"/>
        </w:rPr>
        <w:t>手机</w:t>
      </w:r>
      <w:r>
        <w:rPr>
          <w:rFonts w:hint="eastAsia" w:ascii="宋体" w:hAnsi="宋体"/>
          <w:sz w:val="22"/>
          <w:szCs w:val="22"/>
          <w:highlight w:val="none"/>
        </w:rPr>
        <w:t>：</w:t>
      </w:r>
      <w:permStart w:id="54" w:edGrp="everyone"/>
      <w:r>
        <w:rPr>
          <w:rFonts w:hint="eastAsia" w:ascii="宋体" w:hAnsi="宋体"/>
          <w:sz w:val="22"/>
          <w:szCs w:val="22"/>
          <w:highlight w:val="none"/>
          <w:u w:val="single"/>
        </w:rPr>
        <w:t xml:space="preserve">                 </w:t>
      </w:r>
      <w:permEnd w:id="54"/>
      <w:r>
        <w:rPr>
          <w:rFonts w:hint="eastAsia" w:ascii="宋体" w:hAnsi="宋体"/>
          <w:sz w:val="22"/>
          <w:szCs w:val="22"/>
          <w:highlight w:val="none"/>
          <w:lang w:val="en-US" w:eastAsia="zh-CN"/>
        </w:rPr>
        <w:t>邮编</w:t>
      </w:r>
      <w:r>
        <w:rPr>
          <w:rFonts w:hint="eastAsia" w:ascii="宋体" w:hAnsi="宋体"/>
          <w:sz w:val="22"/>
          <w:szCs w:val="22"/>
          <w:highlight w:val="none"/>
        </w:rPr>
        <w:t>：</w:t>
      </w:r>
      <w:permStart w:id="55" w:edGrp="everyone"/>
      <w:r>
        <w:rPr>
          <w:rFonts w:hint="eastAsia" w:ascii="宋体" w:hAnsi="宋体"/>
          <w:sz w:val="22"/>
          <w:szCs w:val="22"/>
          <w:highlight w:val="none"/>
          <w:u w:val="single"/>
        </w:rPr>
        <w:t xml:space="preserve">                    </w:t>
      </w:r>
      <w:permEnd w:id="55"/>
    </w:p>
    <w:p w14:paraId="75EBC588">
      <w:pPr>
        <w:spacing w:before="78" w:beforeLines="25" w:after="156" w:afterLines="50" w:line="276" w:lineRule="auto"/>
        <w:rPr>
          <w:rFonts w:hint="eastAsia" w:ascii="宋体" w:hAnsi="宋体"/>
          <w:sz w:val="22"/>
          <w:szCs w:val="22"/>
          <w:highlight w:val="none"/>
          <w:u w:val="single"/>
        </w:rPr>
      </w:pPr>
      <w:r>
        <w:rPr>
          <w:rFonts w:hint="eastAsia" w:ascii="宋体" w:hAnsi="宋体"/>
          <w:sz w:val="22"/>
          <w:szCs w:val="22"/>
          <w:highlight w:val="none"/>
          <w:lang w:val="en-US" w:eastAsia="zh-CN"/>
        </w:rPr>
        <w:t>电话</w:t>
      </w:r>
      <w:r>
        <w:rPr>
          <w:rFonts w:hint="eastAsia" w:ascii="宋体" w:hAnsi="宋体"/>
          <w:sz w:val="22"/>
          <w:szCs w:val="22"/>
          <w:highlight w:val="none"/>
        </w:rPr>
        <w:t>：</w:t>
      </w:r>
      <w:permStart w:id="56" w:edGrp="everyone"/>
      <w:r>
        <w:rPr>
          <w:rFonts w:hint="eastAsia" w:ascii="宋体" w:hAnsi="宋体"/>
          <w:sz w:val="22"/>
          <w:szCs w:val="22"/>
          <w:highlight w:val="none"/>
          <w:u w:val="single"/>
        </w:rPr>
        <w:t xml:space="preserve">                     </w:t>
      </w:r>
      <w:permEnd w:id="56"/>
      <w:r>
        <w:rPr>
          <w:rFonts w:hint="eastAsia" w:ascii="宋体" w:hAnsi="宋体"/>
          <w:sz w:val="22"/>
          <w:szCs w:val="22"/>
          <w:highlight w:val="none"/>
        </w:rPr>
        <w:t>E-mail：</w:t>
      </w:r>
      <w:permStart w:id="57" w:edGrp="everyone"/>
      <w:r>
        <w:rPr>
          <w:rFonts w:hint="eastAsia" w:ascii="宋体" w:hAnsi="宋体"/>
          <w:sz w:val="22"/>
          <w:szCs w:val="22"/>
          <w:highlight w:val="none"/>
          <w:u w:val="single"/>
        </w:rPr>
        <w:t xml:space="preserve">                    </w:t>
      </w:r>
      <w:permEnd w:id="57"/>
    </w:p>
    <w:p w14:paraId="430D81F9">
      <w:pPr>
        <w:spacing w:before="78" w:beforeLines="25" w:after="109" w:afterLines="35" w:line="276" w:lineRule="auto"/>
        <w:rPr>
          <w:rFonts w:hint="eastAsia" w:ascii="宋体" w:hAnsi="宋体"/>
          <w:bCs/>
          <w:sz w:val="22"/>
          <w:szCs w:val="22"/>
          <w:highlight w:val="none"/>
        </w:rPr>
      </w:pPr>
      <w:r>
        <w:rPr>
          <w:rFonts w:hint="eastAsia" w:ascii="宋体" w:hAnsi="宋体"/>
          <w:b/>
          <w:sz w:val="22"/>
          <w:szCs w:val="22"/>
          <w:highlight w:val="none"/>
        </w:rPr>
        <w:t>委托方（甲方）税务信息</w:t>
      </w:r>
      <w:r>
        <w:rPr>
          <w:rFonts w:hint="eastAsia" w:ascii="宋体" w:hAnsi="宋体"/>
          <w:bCs/>
          <w:sz w:val="22"/>
          <w:szCs w:val="22"/>
          <w:highlight w:val="none"/>
        </w:rPr>
        <w:t>：</w:t>
      </w:r>
    </w:p>
    <w:p w14:paraId="783FFE87">
      <w:p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是否为一般纳税人：    </w:t>
      </w:r>
      <w:permStart w:id="58" w:edGrp="everyone"/>
      <w:r>
        <w:rPr>
          <w:rFonts w:hint="eastAsia" w:ascii="宋体" w:hAnsi="宋体"/>
          <w:bCs/>
          <w:sz w:val="22"/>
          <w:szCs w:val="22"/>
          <w:highlight w:val="none"/>
        </w:rPr>
        <w:t>□</w:t>
      </w:r>
      <w:permEnd w:id="58"/>
      <w:r>
        <w:rPr>
          <w:rFonts w:hint="eastAsia" w:ascii="宋体" w:hAnsi="宋体"/>
          <w:bCs/>
          <w:sz w:val="22"/>
          <w:szCs w:val="22"/>
          <w:highlight w:val="none"/>
        </w:rPr>
        <w:t xml:space="preserve">否  </w:t>
      </w:r>
      <w:permStart w:id="59" w:edGrp="everyone"/>
      <w:r>
        <w:rPr>
          <w:rFonts w:hint="eastAsia" w:ascii="宋体" w:hAnsi="宋体"/>
          <w:bCs/>
          <w:sz w:val="22"/>
          <w:szCs w:val="22"/>
          <w:highlight w:val="none"/>
        </w:rPr>
        <w:t>□</w:t>
      </w:r>
      <w:permEnd w:id="59"/>
      <w:r>
        <w:rPr>
          <w:rFonts w:hint="eastAsia" w:ascii="宋体" w:hAnsi="宋体"/>
          <w:bCs/>
          <w:sz w:val="22"/>
          <w:szCs w:val="22"/>
          <w:highlight w:val="none"/>
        </w:rPr>
        <w:t xml:space="preserve">是， </w:t>
      </w:r>
      <w:r>
        <w:rPr>
          <w:rFonts w:ascii="宋体" w:hAnsi="宋体"/>
          <w:bCs/>
          <w:sz w:val="22"/>
          <w:szCs w:val="22"/>
          <w:highlight w:val="none"/>
        </w:rPr>
        <w:t xml:space="preserve">         </w:t>
      </w:r>
      <w:r>
        <w:rPr>
          <w:rFonts w:hint="eastAsia" w:ascii="宋体" w:hAnsi="宋体"/>
          <w:bCs/>
          <w:sz w:val="22"/>
          <w:szCs w:val="22"/>
          <w:highlight w:val="none"/>
        </w:rPr>
        <w:t>是否需要专项增值税票：</w:t>
      </w:r>
      <w:permStart w:id="60" w:edGrp="everyone"/>
      <w:r>
        <w:rPr>
          <w:rFonts w:hint="eastAsia" w:ascii="宋体" w:hAnsi="宋体"/>
          <w:bCs/>
          <w:sz w:val="22"/>
          <w:szCs w:val="22"/>
          <w:highlight w:val="none"/>
        </w:rPr>
        <w:t>□</w:t>
      </w:r>
      <w:permEnd w:id="60"/>
      <w:r>
        <w:rPr>
          <w:rFonts w:hint="eastAsia" w:ascii="宋体" w:hAnsi="宋体"/>
          <w:bCs/>
          <w:sz w:val="22"/>
          <w:szCs w:val="22"/>
          <w:highlight w:val="none"/>
        </w:rPr>
        <w:t xml:space="preserve">否  </w:t>
      </w:r>
      <w:permStart w:id="61" w:edGrp="everyone"/>
      <w:r>
        <w:rPr>
          <w:rFonts w:hint="eastAsia" w:ascii="宋体" w:hAnsi="宋体"/>
          <w:bCs/>
          <w:sz w:val="22"/>
          <w:szCs w:val="22"/>
          <w:highlight w:val="none"/>
        </w:rPr>
        <w:t>□</w:t>
      </w:r>
      <w:permEnd w:id="61"/>
      <w:r>
        <w:rPr>
          <w:rFonts w:hint="eastAsia" w:ascii="宋体" w:hAnsi="宋体"/>
          <w:bCs/>
          <w:sz w:val="22"/>
          <w:szCs w:val="22"/>
          <w:highlight w:val="none"/>
        </w:rPr>
        <w:t>是</w:t>
      </w:r>
    </w:p>
    <w:p w14:paraId="3D7A81ED">
      <w:pPr>
        <w:spacing w:before="78" w:beforeLines="25" w:after="156" w:afterLines="50" w:line="276" w:lineRule="auto"/>
        <w:jc w:val="left"/>
        <w:rPr>
          <w:rFonts w:hint="eastAsia" w:ascii="宋体" w:hAnsi="宋体"/>
          <w:sz w:val="22"/>
          <w:szCs w:val="22"/>
          <w:highlight w:val="none"/>
        </w:rPr>
      </w:pPr>
      <w:r>
        <w:rPr>
          <w:rFonts w:hint="eastAsia" w:ascii="宋体" w:hAnsi="宋体"/>
          <w:sz w:val="22"/>
          <w:szCs w:val="22"/>
          <w:highlight w:val="none"/>
        </w:rPr>
        <w:t>纳税人名称：</w:t>
      </w:r>
      <w:permStart w:id="62" w:edGrp="everyone"/>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permEnd w:id="62"/>
    </w:p>
    <w:p w14:paraId="790879E5">
      <w:pPr>
        <w:spacing w:before="78" w:beforeLines="25" w:after="156" w:afterLines="50" w:line="276" w:lineRule="auto"/>
        <w:jc w:val="left"/>
        <w:rPr>
          <w:rFonts w:hint="eastAsia" w:ascii="宋体" w:hAnsi="宋体"/>
          <w:sz w:val="22"/>
          <w:szCs w:val="22"/>
          <w:highlight w:val="none"/>
        </w:rPr>
      </w:pPr>
      <w:r>
        <w:rPr>
          <w:rFonts w:hint="eastAsia" w:ascii="宋体" w:hAnsi="宋体"/>
          <w:sz w:val="22"/>
          <w:szCs w:val="22"/>
          <w:highlight w:val="none"/>
          <w:lang w:val="en-US" w:eastAsia="zh-CN"/>
        </w:rPr>
        <w:t>开票地址</w:t>
      </w:r>
      <w:r>
        <w:rPr>
          <w:rFonts w:hint="eastAsia" w:ascii="宋体" w:hAnsi="宋体"/>
          <w:sz w:val="22"/>
          <w:szCs w:val="22"/>
          <w:highlight w:val="none"/>
        </w:rPr>
        <w:t>：</w:t>
      </w:r>
      <w:permStart w:id="63" w:edGrp="everyone"/>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permEnd w:id="63"/>
    </w:p>
    <w:p w14:paraId="46E6F83B">
      <w:pPr>
        <w:spacing w:before="78" w:beforeLines="25" w:after="156" w:afterLines="50" w:line="276" w:lineRule="auto"/>
        <w:jc w:val="left"/>
        <w:rPr>
          <w:rFonts w:hint="eastAsia" w:ascii="宋体" w:hAnsi="宋体"/>
          <w:sz w:val="22"/>
          <w:szCs w:val="22"/>
          <w:highlight w:val="none"/>
        </w:rPr>
      </w:pPr>
      <w:r>
        <w:rPr>
          <w:rFonts w:hint="eastAsia" w:ascii="宋体" w:hAnsi="宋体"/>
          <w:sz w:val="22"/>
          <w:szCs w:val="22"/>
          <w:highlight w:val="none"/>
        </w:rPr>
        <w:t>纳税人识别号：</w:t>
      </w:r>
      <w:permStart w:id="64" w:edGrp="everyone"/>
      <w:r>
        <w:rPr>
          <w:rFonts w:hint="eastAsia" w:ascii="宋体" w:hAnsi="宋体"/>
          <w:sz w:val="22"/>
          <w:szCs w:val="22"/>
          <w:highlight w:val="none"/>
          <w:u w:val="single"/>
        </w:rPr>
        <w:t xml:space="preserve">                        </w:t>
      </w:r>
      <w:permEnd w:id="64"/>
      <w:r>
        <w:rPr>
          <w:rFonts w:hint="eastAsia" w:ascii="宋体" w:hAnsi="宋体"/>
          <w:sz w:val="22"/>
          <w:szCs w:val="22"/>
          <w:highlight w:val="none"/>
          <w:lang w:val="en-US" w:eastAsia="zh-CN"/>
        </w:rPr>
        <w:t>开票电话</w:t>
      </w:r>
      <w:r>
        <w:rPr>
          <w:rFonts w:hint="eastAsia" w:ascii="宋体" w:hAnsi="宋体"/>
          <w:sz w:val="22"/>
          <w:szCs w:val="22"/>
          <w:highlight w:val="none"/>
        </w:rPr>
        <w:t>：</w:t>
      </w:r>
      <w:permStart w:id="65" w:edGrp="everyone"/>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permEnd w:id="65"/>
      <w:r>
        <w:rPr>
          <w:rFonts w:hint="eastAsia" w:ascii="宋体" w:hAnsi="宋体"/>
          <w:sz w:val="22"/>
          <w:szCs w:val="22"/>
          <w:highlight w:val="none"/>
        </w:rPr>
        <w:t xml:space="preserve"> </w:t>
      </w:r>
    </w:p>
    <w:p w14:paraId="4149B675">
      <w:pPr>
        <w:spacing w:before="78" w:beforeLines="25" w:after="156" w:afterLines="50" w:line="276" w:lineRule="auto"/>
        <w:jc w:val="left"/>
        <w:rPr>
          <w:rFonts w:hint="eastAsia" w:ascii="宋体" w:hAnsi="宋体"/>
          <w:sz w:val="22"/>
          <w:szCs w:val="22"/>
          <w:highlight w:val="none"/>
        </w:rPr>
      </w:pPr>
      <w:r>
        <w:rPr>
          <w:rFonts w:hint="eastAsia" w:ascii="宋体" w:hAnsi="宋体"/>
          <w:sz w:val="22"/>
          <w:szCs w:val="22"/>
          <w:highlight w:val="none"/>
        </w:rPr>
        <w:t>开户行名称：</w:t>
      </w:r>
      <w:permStart w:id="66" w:edGrp="everyone"/>
      <w:r>
        <w:rPr>
          <w:rFonts w:hint="eastAsia" w:ascii="宋体" w:hAnsi="宋体"/>
          <w:sz w:val="22"/>
          <w:szCs w:val="22"/>
          <w:highlight w:val="none"/>
          <w:u w:val="single"/>
        </w:rPr>
        <w:t xml:space="preserve">                          </w:t>
      </w:r>
      <w:permEnd w:id="66"/>
      <w:r>
        <w:rPr>
          <w:rFonts w:hint="eastAsia" w:ascii="宋体" w:hAnsi="宋体"/>
          <w:sz w:val="22"/>
          <w:szCs w:val="22"/>
          <w:highlight w:val="none"/>
        </w:rPr>
        <w:t>；账号：</w:t>
      </w:r>
      <w:permStart w:id="67" w:edGrp="everyone"/>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p>
    <w:permEnd w:id="67"/>
    <w:p w14:paraId="6F9185C7">
      <w:pPr>
        <w:rPr>
          <w:rFonts w:hint="eastAsia" w:ascii="宋体" w:hAnsi="宋体"/>
          <w:sz w:val="22"/>
          <w:szCs w:val="22"/>
          <w:highlight w:val="none"/>
        </w:rPr>
      </w:pPr>
    </w:p>
    <w:p w14:paraId="43EFFD4D">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甲方法定代表人或委托人：</w:t>
      </w:r>
      <w:permStart w:id="68" w:edGrp="everyone"/>
      <w:r>
        <w:rPr>
          <w:rFonts w:hint="eastAsia" w:ascii="宋体" w:hAnsi="宋体"/>
          <w:sz w:val="22"/>
          <w:szCs w:val="22"/>
          <w:highlight w:val="none"/>
          <w:u w:val="single"/>
        </w:rPr>
        <w:t xml:space="preserve">                   </w:t>
      </w:r>
      <w:permEnd w:id="68"/>
      <w:r>
        <w:rPr>
          <w:rFonts w:hint="eastAsia" w:ascii="宋体" w:hAnsi="宋体"/>
          <w:sz w:val="22"/>
          <w:szCs w:val="22"/>
          <w:highlight w:val="none"/>
        </w:rPr>
        <w:t>单位盖章：</w:t>
      </w:r>
      <w:permStart w:id="69" w:edGrp="everyone"/>
      <w:r>
        <w:rPr>
          <w:rFonts w:hint="eastAsia" w:ascii="宋体" w:hAnsi="宋体"/>
          <w:sz w:val="22"/>
          <w:szCs w:val="22"/>
          <w:highlight w:val="none"/>
          <w:u w:val="single"/>
        </w:rPr>
        <w:t xml:space="preserve">                       </w:t>
      </w:r>
      <w:permEnd w:id="69"/>
    </w:p>
    <w:p w14:paraId="09ABD297">
      <w:pPr>
        <w:spacing w:before="78" w:beforeLines="25" w:after="109" w:afterLines="35" w:line="276" w:lineRule="auto"/>
        <w:rPr>
          <w:rFonts w:hint="eastAsia" w:ascii="宋体" w:hAnsi="宋体"/>
          <w:sz w:val="22"/>
          <w:szCs w:val="22"/>
          <w:highlight w:val="none"/>
        </w:rPr>
      </w:pPr>
      <w:r>
        <w:rPr>
          <w:rFonts w:hint="eastAsia" w:ascii="宋体" w:hAnsi="宋体"/>
          <w:sz w:val="22"/>
          <w:szCs w:val="22"/>
          <w:highlight w:val="none"/>
        </w:rPr>
        <w:t>日期：</w:t>
      </w:r>
      <w:permStart w:id="70" w:edGrp="everyone"/>
      <w:r>
        <w:rPr>
          <w:rFonts w:hint="eastAsia" w:ascii="宋体" w:hAnsi="宋体"/>
          <w:sz w:val="22"/>
          <w:szCs w:val="22"/>
          <w:highlight w:val="none"/>
          <w:u w:val="single"/>
        </w:rPr>
        <w:t xml:space="preserve">           </w:t>
      </w:r>
      <w:permEnd w:id="70"/>
      <w:r>
        <w:rPr>
          <w:rFonts w:hint="eastAsia" w:ascii="宋体" w:hAnsi="宋体"/>
          <w:sz w:val="22"/>
          <w:szCs w:val="22"/>
          <w:highlight w:val="none"/>
        </w:rPr>
        <w:t>年</w:t>
      </w:r>
      <w:permStart w:id="71" w:edGrp="everyone"/>
      <w:r>
        <w:rPr>
          <w:rFonts w:hint="eastAsia" w:ascii="宋体" w:hAnsi="宋体"/>
          <w:sz w:val="22"/>
          <w:szCs w:val="22"/>
          <w:highlight w:val="none"/>
          <w:u w:val="single"/>
        </w:rPr>
        <w:t xml:space="preserve">     </w:t>
      </w:r>
      <w:permEnd w:id="71"/>
      <w:r>
        <w:rPr>
          <w:rFonts w:hint="eastAsia" w:ascii="宋体" w:hAnsi="宋体"/>
          <w:sz w:val="22"/>
          <w:szCs w:val="22"/>
          <w:highlight w:val="none"/>
        </w:rPr>
        <w:t>月</w:t>
      </w:r>
      <w:permStart w:id="72" w:edGrp="everyone"/>
      <w:r>
        <w:rPr>
          <w:rFonts w:hint="eastAsia" w:ascii="宋体" w:hAnsi="宋体"/>
          <w:sz w:val="22"/>
          <w:szCs w:val="22"/>
          <w:highlight w:val="none"/>
          <w:u w:val="single"/>
        </w:rPr>
        <w:t xml:space="preserve">     </w:t>
      </w:r>
      <w:permEnd w:id="72"/>
      <w:r>
        <w:rPr>
          <w:rFonts w:hint="eastAsia" w:ascii="宋体" w:hAnsi="宋体"/>
          <w:sz w:val="22"/>
          <w:szCs w:val="22"/>
          <w:highlight w:val="none"/>
        </w:rPr>
        <w:t>日</w:t>
      </w:r>
    </w:p>
    <w:p w14:paraId="14959EFE">
      <w:pPr>
        <w:rPr>
          <w:rFonts w:hint="eastAsia" w:ascii="宋体" w:hAnsi="宋体"/>
          <w:sz w:val="22"/>
          <w:szCs w:val="22"/>
          <w:highlight w:val="none"/>
        </w:rPr>
      </w:pPr>
    </w:p>
    <w:p w14:paraId="58BC5075">
      <w:pPr>
        <w:rPr>
          <w:rFonts w:hint="eastAsia" w:ascii="宋体" w:hAnsi="宋体"/>
          <w:sz w:val="22"/>
          <w:szCs w:val="22"/>
          <w:highlight w:val="none"/>
        </w:rPr>
      </w:pPr>
    </w:p>
    <w:p w14:paraId="64364283">
      <w:pPr>
        <w:spacing w:before="78" w:beforeLines="25" w:after="156" w:afterLines="50" w:line="276" w:lineRule="auto"/>
        <w:rPr>
          <w:rFonts w:hint="eastAsia" w:ascii="宋体" w:hAnsi="宋体"/>
          <w:b/>
          <w:sz w:val="22"/>
          <w:szCs w:val="22"/>
          <w:highlight w:val="none"/>
        </w:rPr>
      </w:pPr>
      <w:r>
        <w:rPr>
          <w:rFonts w:hint="eastAsia" w:ascii="宋体" w:hAnsi="宋体"/>
          <w:b/>
          <w:sz w:val="22"/>
          <w:szCs w:val="22"/>
          <w:highlight w:val="none"/>
        </w:rPr>
        <w:t>审核方（乙方）：</w:t>
      </w:r>
      <w:r>
        <w:rPr>
          <w:rFonts w:hint="eastAsia" w:ascii="宋体" w:hAnsi="宋体"/>
          <w:b/>
          <w:sz w:val="22"/>
          <w:szCs w:val="22"/>
          <w:highlight w:val="none"/>
          <w:u w:val="single"/>
        </w:rPr>
        <w:t xml:space="preserve"> </w:t>
      </w:r>
      <w:r>
        <w:rPr>
          <w:rFonts w:ascii="宋体" w:hAnsi="宋体"/>
          <w:b/>
          <w:sz w:val="22"/>
          <w:szCs w:val="22"/>
          <w:highlight w:val="none"/>
          <w:u w:val="single"/>
        </w:rPr>
        <w:t xml:space="preserve">    </w:t>
      </w:r>
      <w:r>
        <w:rPr>
          <w:rFonts w:hint="eastAsia" w:ascii="宋体" w:hAnsi="宋体"/>
          <w:b/>
          <w:sz w:val="22"/>
          <w:szCs w:val="22"/>
          <w:highlight w:val="none"/>
          <w:u w:val="single"/>
        </w:rPr>
        <w:t xml:space="preserve">上海恩可埃认证有限公司               </w:t>
      </w:r>
      <w:r>
        <w:rPr>
          <w:rFonts w:hint="eastAsia" w:ascii="宋体" w:hAnsi="宋体"/>
          <w:b/>
          <w:sz w:val="22"/>
          <w:szCs w:val="22"/>
          <w:highlight w:val="none"/>
        </w:rPr>
        <w:t xml:space="preserve">        </w:t>
      </w:r>
    </w:p>
    <w:p w14:paraId="10A283F8">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通讯地址：</w:t>
      </w:r>
      <w:r>
        <w:rPr>
          <w:rFonts w:hint="eastAsia" w:ascii="宋体" w:hAnsi="宋体"/>
          <w:sz w:val="22"/>
          <w:szCs w:val="22"/>
          <w:highlight w:val="none"/>
          <w:u w:val="single"/>
        </w:rPr>
        <w:t>中国（上海）自由贸易试验区陆家嘴环路958号2201室</w:t>
      </w:r>
      <w:r>
        <w:rPr>
          <w:rFonts w:hint="eastAsia" w:ascii="宋体" w:hAnsi="宋体"/>
          <w:sz w:val="22"/>
          <w:szCs w:val="22"/>
          <w:highlight w:val="none"/>
        </w:rPr>
        <w:t xml:space="preserve">  邮编：</w:t>
      </w:r>
      <w:r>
        <w:rPr>
          <w:rFonts w:hint="eastAsia" w:ascii="宋体" w:hAnsi="宋体"/>
          <w:sz w:val="22"/>
          <w:szCs w:val="22"/>
          <w:highlight w:val="none"/>
          <w:u w:val="single"/>
        </w:rPr>
        <w:t xml:space="preserve"> 200120  </w:t>
      </w:r>
      <w:r>
        <w:rPr>
          <w:rFonts w:hint="eastAsia" w:ascii="宋体" w:hAnsi="宋体"/>
          <w:sz w:val="22"/>
          <w:szCs w:val="22"/>
          <w:highlight w:val="none"/>
        </w:rPr>
        <w:t xml:space="preserve">         </w:t>
      </w:r>
    </w:p>
    <w:p w14:paraId="45AD758B">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联系人：</w:t>
      </w:r>
      <w:r>
        <w:rPr>
          <w:rFonts w:hint="eastAsia" w:ascii="宋体" w:hAnsi="宋体"/>
          <w:sz w:val="22"/>
          <w:szCs w:val="22"/>
          <w:highlight w:val="none"/>
          <w:u w:val="single"/>
        </w:rPr>
        <w:t xml:space="preserve"> </w:t>
      </w:r>
      <w:permStart w:id="73" w:edGrp="everyone"/>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permEnd w:id="73"/>
      <w:r>
        <w:rPr>
          <w:rFonts w:hint="eastAsia" w:ascii="宋体" w:hAnsi="宋体"/>
          <w:sz w:val="22"/>
          <w:szCs w:val="22"/>
          <w:highlight w:val="none"/>
        </w:rPr>
        <w:t xml:space="preserve">     </w:t>
      </w:r>
      <w:r>
        <w:rPr>
          <w:rFonts w:hint="eastAsia" w:ascii="宋体" w:hAnsi="宋体"/>
          <w:sz w:val="22"/>
          <w:szCs w:val="22"/>
          <w:highlight w:val="none"/>
          <w:lang w:val="en-US" w:eastAsia="zh-CN"/>
        </w:rPr>
        <w:t xml:space="preserve">         </w:t>
      </w:r>
      <w:r>
        <w:rPr>
          <w:rFonts w:hint="eastAsia" w:ascii="宋体" w:hAnsi="宋体"/>
          <w:sz w:val="22"/>
          <w:szCs w:val="22"/>
          <w:highlight w:val="none"/>
        </w:rPr>
        <w:t>电话：</w:t>
      </w:r>
      <w:permStart w:id="74" w:edGrp="everyone"/>
      <w:r>
        <w:rPr>
          <w:rFonts w:hint="eastAsia" w:ascii="宋体" w:hAnsi="宋体"/>
          <w:sz w:val="22"/>
          <w:szCs w:val="22"/>
          <w:highlight w:val="none"/>
          <w:u w:val="single"/>
        </w:rPr>
        <w:t xml:space="preserve">                        </w:t>
      </w:r>
      <w:permEnd w:id="74"/>
      <w:r>
        <w:rPr>
          <w:rFonts w:hint="eastAsia" w:ascii="宋体" w:hAnsi="宋体"/>
          <w:sz w:val="22"/>
          <w:szCs w:val="22"/>
          <w:highlight w:val="none"/>
        </w:rPr>
        <w:t xml:space="preserve">      </w:t>
      </w:r>
    </w:p>
    <w:p w14:paraId="7E68EF91">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开户名称：</w:t>
      </w:r>
      <w:r>
        <w:rPr>
          <w:rFonts w:hint="eastAsia" w:ascii="宋体" w:hAnsi="宋体"/>
          <w:sz w:val="22"/>
          <w:szCs w:val="22"/>
          <w:highlight w:val="none"/>
          <w:u w:val="single"/>
        </w:rPr>
        <w:t xml:space="preserve"> 上海恩可埃认证有限公司     </w:t>
      </w:r>
      <w:r>
        <w:rPr>
          <w:rFonts w:hint="eastAsia" w:ascii="宋体" w:hAnsi="宋体"/>
          <w:sz w:val="22"/>
          <w:szCs w:val="22"/>
          <w:highlight w:val="none"/>
        </w:rPr>
        <w:t xml:space="preserve"> </w:t>
      </w:r>
      <w:r>
        <w:rPr>
          <w:rFonts w:hint="eastAsia" w:ascii="宋体" w:hAnsi="宋体"/>
          <w:sz w:val="22"/>
          <w:szCs w:val="22"/>
          <w:highlight w:val="none"/>
          <w:lang w:val="en-US" w:eastAsia="zh-CN"/>
        </w:rPr>
        <w:t xml:space="preserve"> </w:t>
      </w:r>
      <w:r>
        <w:rPr>
          <w:rFonts w:hint="eastAsia" w:ascii="宋体" w:hAnsi="宋体"/>
          <w:sz w:val="22"/>
          <w:szCs w:val="22"/>
          <w:highlight w:val="none"/>
        </w:rPr>
        <w:t>账号：</w:t>
      </w:r>
      <w:r>
        <w:rPr>
          <w:rFonts w:hint="eastAsia" w:ascii="宋体" w:hAnsi="宋体"/>
          <w:sz w:val="22"/>
          <w:szCs w:val="22"/>
          <w:highlight w:val="none"/>
          <w:u w:val="single"/>
        </w:rPr>
        <w:t xml:space="preserve"> 31001527400056001907   </w:t>
      </w:r>
      <w:r>
        <w:rPr>
          <w:rFonts w:hint="eastAsia" w:ascii="宋体" w:hAnsi="宋体"/>
          <w:sz w:val="22"/>
          <w:szCs w:val="22"/>
          <w:highlight w:val="none"/>
        </w:rPr>
        <w:t xml:space="preserve">   </w:t>
      </w:r>
    </w:p>
    <w:p w14:paraId="06963E17">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开户银行：</w:t>
      </w:r>
      <w:r>
        <w:rPr>
          <w:rFonts w:hint="eastAsia" w:ascii="宋体" w:hAnsi="宋体"/>
          <w:sz w:val="22"/>
          <w:szCs w:val="22"/>
          <w:highlight w:val="none"/>
          <w:u w:val="single"/>
          <w:lang w:val="en-US" w:eastAsia="zh-CN"/>
        </w:rPr>
        <w:t>中国</w:t>
      </w:r>
      <w:r>
        <w:rPr>
          <w:rFonts w:hint="eastAsia" w:ascii="宋体" w:hAnsi="宋体"/>
          <w:sz w:val="22"/>
          <w:szCs w:val="22"/>
          <w:highlight w:val="none"/>
          <w:u w:val="single"/>
        </w:rPr>
        <w:t>建设银行</w:t>
      </w:r>
      <w:r>
        <w:rPr>
          <w:rFonts w:hint="eastAsia" w:ascii="宋体" w:hAnsi="宋体"/>
          <w:sz w:val="22"/>
          <w:szCs w:val="22"/>
          <w:highlight w:val="none"/>
          <w:u w:val="single"/>
          <w:lang w:val="en-US" w:eastAsia="zh-CN"/>
        </w:rPr>
        <w:t>股份有限公司</w:t>
      </w:r>
      <w:r>
        <w:rPr>
          <w:rFonts w:hint="eastAsia" w:ascii="宋体" w:hAnsi="宋体"/>
          <w:sz w:val="22"/>
          <w:szCs w:val="22"/>
          <w:highlight w:val="none"/>
          <w:u w:val="single"/>
        </w:rPr>
        <w:t>上海宝武大厦支行</w:t>
      </w:r>
      <w:r>
        <w:rPr>
          <w:rFonts w:hint="eastAsia" w:ascii="宋体" w:hAnsi="宋体"/>
          <w:sz w:val="22"/>
          <w:szCs w:val="22"/>
          <w:highlight w:val="none"/>
          <w:u w:val="single"/>
          <w:lang w:eastAsia="zh-CN"/>
        </w:rPr>
        <w:t>；</w:t>
      </w:r>
      <w:r>
        <w:rPr>
          <w:rFonts w:hint="eastAsia" w:ascii="宋体" w:hAnsi="宋体"/>
          <w:sz w:val="22"/>
          <w:szCs w:val="22"/>
          <w:highlight w:val="none"/>
          <w:u w:val="single"/>
          <w:lang w:val="en-US" w:eastAsia="zh-CN"/>
        </w:rPr>
        <w:t xml:space="preserve"> </w:t>
      </w:r>
    </w:p>
    <w:p w14:paraId="3A5DC3A0">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乙方法定代表人或授权人：</w:t>
      </w:r>
      <w:permStart w:id="75" w:edGrp="everyone"/>
      <w:r>
        <w:rPr>
          <w:rFonts w:hint="eastAsia" w:ascii="宋体" w:hAnsi="宋体"/>
          <w:sz w:val="22"/>
          <w:szCs w:val="22"/>
          <w:highlight w:val="none"/>
          <w:u w:val="single"/>
        </w:rPr>
        <w:t xml:space="preserve">              </w:t>
      </w:r>
      <w:permEnd w:id="75"/>
      <w:r>
        <w:rPr>
          <w:rFonts w:hint="eastAsia" w:ascii="宋体" w:hAnsi="宋体"/>
          <w:sz w:val="22"/>
          <w:szCs w:val="22"/>
          <w:highlight w:val="none"/>
        </w:rPr>
        <w:t xml:space="preserve">  单位盖章：</w:t>
      </w:r>
    </w:p>
    <w:p w14:paraId="4CD8A516">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日期：</w:t>
      </w:r>
      <w:permStart w:id="76" w:edGrp="everyone"/>
      <w:r>
        <w:rPr>
          <w:rFonts w:hint="eastAsia" w:ascii="宋体" w:hAnsi="宋体"/>
          <w:sz w:val="22"/>
          <w:szCs w:val="22"/>
          <w:highlight w:val="none"/>
          <w:u w:val="single"/>
        </w:rPr>
        <w:t xml:space="preserve">           </w:t>
      </w:r>
      <w:permEnd w:id="76"/>
      <w:r>
        <w:rPr>
          <w:rFonts w:hint="eastAsia" w:ascii="宋体" w:hAnsi="宋体"/>
          <w:sz w:val="22"/>
          <w:szCs w:val="22"/>
          <w:highlight w:val="none"/>
        </w:rPr>
        <w:t>年</w:t>
      </w:r>
      <w:permStart w:id="77" w:edGrp="everyone"/>
      <w:r>
        <w:rPr>
          <w:rFonts w:hint="eastAsia" w:ascii="宋体" w:hAnsi="宋体"/>
          <w:sz w:val="22"/>
          <w:szCs w:val="22"/>
          <w:highlight w:val="none"/>
          <w:u w:val="single"/>
        </w:rPr>
        <w:t xml:space="preserve">     </w:t>
      </w:r>
      <w:permEnd w:id="77"/>
      <w:r>
        <w:rPr>
          <w:rFonts w:hint="eastAsia" w:ascii="宋体" w:hAnsi="宋体"/>
          <w:sz w:val="22"/>
          <w:szCs w:val="22"/>
          <w:highlight w:val="none"/>
        </w:rPr>
        <w:t>月</w:t>
      </w:r>
      <w:permStart w:id="78" w:edGrp="everyone"/>
      <w:r>
        <w:rPr>
          <w:rFonts w:hint="eastAsia" w:ascii="宋体" w:hAnsi="宋体"/>
          <w:sz w:val="22"/>
          <w:szCs w:val="22"/>
          <w:highlight w:val="none"/>
          <w:u w:val="single"/>
        </w:rPr>
        <w:t xml:space="preserve">     </w:t>
      </w:r>
      <w:permEnd w:id="78"/>
      <w:r>
        <w:rPr>
          <w:rFonts w:hint="eastAsia" w:ascii="宋体" w:hAnsi="宋体"/>
          <w:sz w:val="22"/>
          <w:szCs w:val="22"/>
          <w:highlight w:val="none"/>
        </w:rPr>
        <w:t>日</w:t>
      </w:r>
    </w:p>
    <w:p w14:paraId="2E4227B1">
      <w:pPr>
        <w:spacing w:before="78" w:beforeLines="25" w:after="156" w:afterLines="50" w:line="276" w:lineRule="auto"/>
        <w:rPr>
          <w:rFonts w:hint="eastAsia" w:ascii="宋体" w:hAnsi="宋体"/>
          <w:sz w:val="22"/>
          <w:szCs w:val="22"/>
          <w:highlight w:val="none"/>
        </w:rPr>
      </w:pPr>
    </w:p>
    <w:p w14:paraId="678D7F75">
      <w:pPr>
        <w:widowControl/>
        <w:spacing w:before="0" w:beforeLines="-2147483648" w:after="0" w:afterLines="-2147483648" w:line="240" w:lineRule="auto"/>
        <w:jc w:val="left"/>
        <w:rPr>
          <w:rFonts w:hint="eastAsia" w:ascii="宋体" w:hAnsi="宋体"/>
          <w:b/>
          <w:sz w:val="22"/>
          <w:szCs w:val="22"/>
          <w:highlight w:val="none"/>
          <w:u w:val="single"/>
        </w:rPr>
      </w:pPr>
      <w:r>
        <w:rPr>
          <w:rFonts w:hint="eastAsia" w:ascii="宋体" w:hAnsi="宋体" w:eastAsia="宋体" w:cs="宋体"/>
          <w:color w:val="000000"/>
          <w:kern w:val="0"/>
          <w:sz w:val="22"/>
          <w:szCs w:val="22"/>
          <w:lang w:val="en-US" w:eastAsia="zh-CN" w:bidi="ar"/>
        </w:rPr>
        <w:t>上海恩可埃认证有限公司分支机构</w:t>
      </w:r>
      <w:r>
        <w:rPr>
          <w:rFonts w:hint="eastAsia" w:ascii="宋体" w:hAnsi="宋体"/>
          <w:b/>
          <w:sz w:val="22"/>
          <w:szCs w:val="22"/>
          <w:highlight w:val="none"/>
        </w:rPr>
        <w:t xml:space="preserve">： </w:t>
      </w:r>
      <w:permStart w:id="79" w:edGrp="everyone"/>
      <w:r>
        <w:rPr>
          <w:rFonts w:hint="eastAsia" w:ascii="宋体" w:hAnsi="宋体"/>
          <w:b/>
          <w:sz w:val="22"/>
          <w:szCs w:val="22"/>
          <w:highlight w:val="none"/>
          <w:u w:val="single"/>
        </w:rPr>
        <w:t xml:space="preserve">                                         </w:t>
      </w:r>
      <w:permEnd w:id="79"/>
    </w:p>
    <w:p w14:paraId="1061CC84">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通讯地址：</w:t>
      </w:r>
      <w:permStart w:id="80" w:edGrp="everyone"/>
      <w:r>
        <w:rPr>
          <w:rFonts w:hint="eastAsia" w:ascii="宋体" w:hAnsi="宋体"/>
          <w:sz w:val="22"/>
          <w:szCs w:val="22"/>
          <w:highlight w:val="none"/>
          <w:u w:val="single"/>
        </w:rPr>
        <w:t xml:space="preserve">                                              </w:t>
      </w:r>
      <w:permEnd w:id="80"/>
      <w:r>
        <w:rPr>
          <w:rFonts w:hint="eastAsia" w:ascii="宋体" w:hAnsi="宋体"/>
          <w:sz w:val="22"/>
          <w:szCs w:val="22"/>
          <w:highlight w:val="none"/>
        </w:rPr>
        <w:t xml:space="preserve">   邮编：</w:t>
      </w:r>
      <w:permStart w:id="81" w:edGrp="everyone"/>
      <w:r>
        <w:rPr>
          <w:rFonts w:hint="eastAsia" w:ascii="宋体" w:hAnsi="宋体"/>
          <w:sz w:val="22"/>
          <w:szCs w:val="22"/>
          <w:highlight w:val="none"/>
          <w:u w:val="single"/>
        </w:rPr>
        <w:t xml:space="preserve">           </w:t>
      </w:r>
      <w:permEnd w:id="81"/>
    </w:p>
    <w:p w14:paraId="0BF5EF9F">
      <w:pPr>
        <w:spacing w:before="78" w:beforeLines="25" w:after="156" w:afterLines="50" w:line="276" w:lineRule="auto"/>
        <w:rPr>
          <w:rFonts w:hint="eastAsia" w:ascii="宋体" w:hAnsi="宋体"/>
          <w:sz w:val="22"/>
          <w:szCs w:val="22"/>
          <w:highlight w:val="none"/>
          <w:u w:val="single"/>
          <w:lang w:val="en-GB"/>
        </w:rPr>
      </w:pPr>
      <w:r>
        <w:rPr>
          <w:rFonts w:hint="eastAsia" w:ascii="宋体" w:hAnsi="宋体"/>
          <w:sz w:val="22"/>
          <w:szCs w:val="22"/>
          <w:highlight w:val="none"/>
        </w:rPr>
        <w:t>联系人：</w:t>
      </w:r>
      <w:permStart w:id="82" w:edGrp="everyone"/>
      <w:r>
        <w:rPr>
          <w:rFonts w:hint="eastAsia" w:ascii="宋体" w:hAnsi="宋体"/>
          <w:sz w:val="22"/>
          <w:szCs w:val="22"/>
          <w:highlight w:val="none"/>
          <w:u w:val="single"/>
        </w:rPr>
        <w:t xml:space="preserve">                    </w:t>
      </w:r>
      <w:permEnd w:id="82"/>
      <w:r>
        <w:rPr>
          <w:rFonts w:hint="eastAsia" w:ascii="宋体" w:hAnsi="宋体"/>
          <w:sz w:val="22"/>
          <w:szCs w:val="22"/>
          <w:highlight w:val="none"/>
        </w:rPr>
        <w:t xml:space="preserve"> 电话：</w:t>
      </w:r>
      <w:permStart w:id="83" w:edGrp="everyone"/>
      <w:r>
        <w:rPr>
          <w:rFonts w:hint="eastAsia" w:ascii="宋体" w:hAnsi="宋体"/>
          <w:sz w:val="22"/>
          <w:szCs w:val="22"/>
          <w:highlight w:val="none"/>
          <w:u w:val="single"/>
        </w:rPr>
        <w:t xml:space="preserve">                     </w:t>
      </w:r>
      <w:permEnd w:id="83"/>
      <w:r>
        <w:rPr>
          <w:rFonts w:hint="eastAsia" w:ascii="宋体" w:hAnsi="宋体"/>
          <w:sz w:val="22"/>
          <w:szCs w:val="22"/>
          <w:highlight w:val="none"/>
        </w:rPr>
        <w:t>Email：</w:t>
      </w:r>
      <w:permStart w:id="84" w:edGrp="everyone"/>
      <w:r>
        <w:rPr>
          <w:rFonts w:hint="eastAsia" w:ascii="宋体" w:hAnsi="宋体"/>
          <w:sz w:val="22"/>
          <w:szCs w:val="22"/>
          <w:highlight w:val="none"/>
          <w:u w:val="single"/>
        </w:rPr>
        <w:t xml:space="preserve">             </w:t>
      </w:r>
      <w:permEnd w:id="84"/>
    </w:p>
    <w:p w14:paraId="28BA35CD">
      <w:pPr>
        <w:spacing w:before="78" w:beforeLines="25" w:after="156" w:afterLines="50" w:line="276" w:lineRule="auto"/>
        <w:rPr>
          <w:rFonts w:hint="eastAsia" w:ascii="宋体" w:hAnsi="宋体"/>
          <w:sz w:val="22"/>
          <w:szCs w:val="22"/>
          <w:highlight w:val="none"/>
          <w:u w:val="single"/>
        </w:rPr>
      </w:pPr>
      <w:r>
        <w:rPr>
          <w:rFonts w:hint="eastAsia" w:ascii="宋体" w:hAnsi="宋体"/>
          <w:sz w:val="22"/>
          <w:szCs w:val="22"/>
          <w:highlight w:val="none"/>
        </w:rPr>
        <w:t>开户银行：</w:t>
      </w:r>
      <w:permStart w:id="85" w:edGrp="everyone"/>
      <w:r>
        <w:rPr>
          <w:rFonts w:hint="eastAsia" w:ascii="宋体" w:hAnsi="宋体"/>
          <w:sz w:val="22"/>
          <w:szCs w:val="22"/>
          <w:highlight w:val="none"/>
          <w:u w:val="single"/>
        </w:rPr>
        <w:t xml:space="preserve">                            </w:t>
      </w:r>
      <w:permEnd w:id="85"/>
      <w:r>
        <w:rPr>
          <w:rFonts w:hint="eastAsia" w:ascii="宋体" w:hAnsi="宋体"/>
          <w:sz w:val="22"/>
          <w:szCs w:val="22"/>
          <w:highlight w:val="none"/>
        </w:rPr>
        <w:t xml:space="preserve">        账号：</w:t>
      </w:r>
      <w:permStart w:id="86" w:edGrp="everyone"/>
      <w:r>
        <w:rPr>
          <w:rFonts w:hint="eastAsia" w:ascii="宋体" w:hAnsi="宋体"/>
          <w:sz w:val="22"/>
          <w:szCs w:val="22"/>
          <w:highlight w:val="none"/>
          <w:u w:val="single"/>
        </w:rPr>
        <w:t xml:space="preserve">                        </w:t>
      </w:r>
      <w:permEnd w:id="86"/>
    </w:p>
    <w:p w14:paraId="30A05DB3">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乙方法定代表人或授权人：</w:t>
      </w:r>
      <w:permStart w:id="87" w:edGrp="everyone"/>
      <w:r>
        <w:rPr>
          <w:rFonts w:hint="eastAsia" w:ascii="宋体" w:hAnsi="宋体"/>
          <w:sz w:val="22"/>
          <w:szCs w:val="22"/>
          <w:highlight w:val="none"/>
          <w:u w:val="single"/>
        </w:rPr>
        <w:t xml:space="preserve">              </w:t>
      </w:r>
      <w:permEnd w:id="87"/>
      <w:r>
        <w:rPr>
          <w:rFonts w:hint="eastAsia" w:ascii="宋体" w:hAnsi="宋体"/>
          <w:sz w:val="22"/>
          <w:szCs w:val="22"/>
          <w:highlight w:val="none"/>
        </w:rPr>
        <w:t xml:space="preserve">  单位盖章：</w:t>
      </w:r>
    </w:p>
    <w:p w14:paraId="1F456F24">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日期：</w:t>
      </w:r>
      <w:permStart w:id="88" w:edGrp="everyone"/>
      <w:r>
        <w:rPr>
          <w:rFonts w:hint="eastAsia" w:ascii="宋体" w:hAnsi="宋体"/>
          <w:sz w:val="22"/>
          <w:szCs w:val="22"/>
          <w:highlight w:val="none"/>
          <w:u w:val="single"/>
        </w:rPr>
        <w:t xml:space="preserve">           </w:t>
      </w:r>
      <w:permEnd w:id="88"/>
      <w:r>
        <w:rPr>
          <w:rFonts w:hint="eastAsia" w:ascii="宋体" w:hAnsi="宋体"/>
          <w:sz w:val="22"/>
          <w:szCs w:val="22"/>
          <w:highlight w:val="none"/>
        </w:rPr>
        <w:t>年</w:t>
      </w:r>
      <w:permStart w:id="89" w:edGrp="everyone"/>
      <w:r>
        <w:rPr>
          <w:rFonts w:hint="eastAsia" w:ascii="宋体" w:hAnsi="宋体"/>
          <w:sz w:val="22"/>
          <w:szCs w:val="22"/>
          <w:highlight w:val="none"/>
          <w:u w:val="single"/>
        </w:rPr>
        <w:t xml:space="preserve">     </w:t>
      </w:r>
      <w:permEnd w:id="89"/>
      <w:r>
        <w:rPr>
          <w:rFonts w:hint="eastAsia" w:ascii="宋体" w:hAnsi="宋体"/>
          <w:sz w:val="22"/>
          <w:szCs w:val="22"/>
          <w:highlight w:val="none"/>
        </w:rPr>
        <w:t>月</w:t>
      </w:r>
      <w:permStart w:id="90" w:edGrp="everyone"/>
      <w:r>
        <w:rPr>
          <w:rFonts w:hint="eastAsia" w:ascii="宋体" w:hAnsi="宋体"/>
          <w:sz w:val="22"/>
          <w:szCs w:val="22"/>
          <w:highlight w:val="none"/>
          <w:u w:val="single"/>
        </w:rPr>
        <w:t xml:space="preserve">     </w:t>
      </w:r>
      <w:permEnd w:id="90"/>
      <w:r>
        <w:rPr>
          <w:rFonts w:hint="eastAsia" w:ascii="宋体" w:hAnsi="宋体"/>
          <w:sz w:val="22"/>
          <w:szCs w:val="22"/>
          <w:highlight w:val="none"/>
        </w:rPr>
        <w:t>日</w:t>
      </w:r>
    </w:p>
    <w:p w14:paraId="618E2C69">
      <w:pPr>
        <w:spacing w:line="276" w:lineRule="auto"/>
        <w:rPr>
          <w:highlight w:val="none"/>
        </w:rPr>
      </w:pPr>
    </w:p>
    <w:sectPr>
      <w:pgSz w:w="11906" w:h="16838"/>
      <w:pgMar w:top="1134" w:right="1134" w:bottom="1134" w:left="1134" w:header="680" w:footer="680"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796A">
    <w:pPr>
      <w:pStyle w:val="3"/>
      <w:jc w:val="center"/>
      <w:rPr>
        <w:rFonts w:hint="eastAsia" w:ascii="宋体" w:hAnsi="宋体"/>
        <w:b/>
      </w:rPr>
    </w:pPr>
    <w:r>
      <w:rPr>
        <w:rFonts w:hint="eastAsia" w:ascii="宋体" w:hAnsi="宋体"/>
        <w:b/>
      </w:rPr>
      <w:t xml:space="preserve">第 </w:t>
    </w:r>
    <w:r>
      <w:rPr>
        <w:rFonts w:ascii="宋体" w:hAnsi="宋体"/>
        <w:b/>
      </w:rPr>
      <w:fldChar w:fldCharType="begin"/>
    </w:r>
    <w:r>
      <w:rPr>
        <w:rFonts w:ascii="宋体" w:hAnsi="宋体"/>
        <w:b/>
      </w:rPr>
      <w:instrText xml:space="preserve">PAGE</w:instrText>
    </w:r>
    <w:r>
      <w:rPr>
        <w:rFonts w:ascii="宋体" w:hAnsi="宋体"/>
        <w:b/>
      </w:rPr>
      <w:fldChar w:fldCharType="separate"/>
    </w:r>
    <w:r>
      <w:rPr>
        <w:rFonts w:ascii="宋体" w:hAnsi="宋体"/>
        <w:b/>
      </w:rPr>
      <w:t>9</w:t>
    </w:r>
    <w:r>
      <w:rPr>
        <w:rFonts w:ascii="宋体" w:hAnsi="宋体"/>
        <w:b/>
      </w:rPr>
      <w:fldChar w:fldCharType="end"/>
    </w:r>
    <w:r>
      <w:rPr>
        <w:rFonts w:ascii="宋体" w:hAnsi="宋体"/>
        <w:b/>
        <w:lang w:val="zh-CN"/>
      </w:rPr>
      <w:t xml:space="preserve"> </w:t>
    </w:r>
    <w:r>
      <w:rPr>
        <w:rFonts w:hint="eastAsia" w:ascii="宋体" w:hAnsi="宋体"/>
        <w:b/>
        <w:lang w:val="zh-CN"/>
      </w:rPr>
      <w:t xml:space="preserve">页 共 </w:t>
    </w:r>
    <w:r>
      <w:rPr>
        <w:rFonts w:ascii="宋体" w:hAnsi="宋体"/>
        <w:b/>
      </w:rPr>
      <w:fldChar w:fldCharType="begin"/>
    </w:r>
    <w:r>
      <w:rPr>
        <w:rFonts w:ascii="宋体" w:hAnsi="宋体"/>
        <w:b/>
      </w:rPr>
      <w:instrText xml:space="preserve">NUMPAGES</w:instrText>
    </w:r>
    <w:r>
      <w:rPr>
        <w:rFonts w:ascii="宋体" w:hAnsi="宋体"/>
        <w:b/>
      </w:rPr>
      <w:fldChar w:fldCharType="separate"/>
    </w:r>
    <w:r>
      <w:rPr>
        <w:rFonts w:ascii="宋体" w:hAnsi="宋体"/>
        <w:b/>
      </w:rPr>
      <w:t>9</w:t>
    </w:r>
    <w:r>
      <w:rPr>
        <w:rFonts w:ascii="宋体" w:hAnsi="宋体"/>
        <w:b/>
      </w:rPr>
      <w:fldChar w:fldCharType="end"/>
    </w:r>
    <w:r>
      <w:rPr>
        <w:rFonts w:ascii="宋体" w:hAnsi="宋体"/>
        <w:b/>
      </w:rPr>
      <w:t xml:space="preserve"> </w:t>
    </w:r>
    <w:r>
      <w:rPr>
        <w:rFonts w:hint="eastAsia" w:ascii="宋体" w:hAnsi="宋体"/>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5DCA8">
    <w:pPr>
      <w:pStyle w:val="3"/>
      <w:framePr w:wrap="around" w:vAnchor="text" w:hAnchor="margin" w:xAlign="center" w:y="1"/>
      <w:rPr>
        <w:rStyle w:val="7"/>
      </w:rPr>
    </w:pPr>
    <w:r>
      <w:fldChar w:fldCharType="begin"/>
    </w:r>
    <w:r>
      <w:rPr>
        <w:rStyle w:val="7"/>
      </w:rPr>
      <w:instrText xml:space="preserve">PAGE  </w:instrText>
    </w:r>
    <w:r>
      <w:fldChar w:fldCharType="end"/>
    </w:r>
  </w:p>
  <w:p w14:paraId="115EEE7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21DF">
    <w:pPr>
      <w:pStyle w:val="4"/>
      <w:jc w:val="both"/>
      <w:rPr>
        <w:rFonts w:hint="eastAsia" w:ascii="宋体" w:hAnsi="宋体"/>
        <w:bCs/>
        <w:sz w:val="21"/>
      </w:rPr>
    </w:pPr>
    <w:r>
      <w:rPr>
        <w:rFonts w:hint="eastAsia" w:ascii="宋体" w:hAnsi="宋体"/>
        <w:sz w:val="21"/>
      </w:rPr>
      <w:t>上海恩可埃认证有限公司</w:t>
    </w:r>
    <w:r>
      <w:rPr>
        <w:rFonts w:hint="eastAsia" w:ascii="宋体" w:hAnsi="宋体"/>
        <w:bCs/>
        <w:sz w:val="21"/>
      </w:rPr>
      <w:t xml:space="preserve">                                       </w:t>
    </w:r>
    <w:r>
      <w:rPr>
        <w:rFonts w:ascii="宋体" w:hAnsi="宋体"/>
        <w:bCs/>
        <w:sz w:val="21"/>
      </w:rPr>
      <w:t xml:space="preserve">               SNQA/G-09/</w:t>
    </w:r>
    <w:r>
      <w:rPr>
        <w:rFonts w:hint="eastAsia" w:ascii="宋体" w:hAnsi="宋体"/>
        <w:bCs/>
        <w:sz w:val="21"/>
      </w:rPr>
      <w:t>3</w:t>
    </w:r>
    <w:r>
      <w:rPr>
        <w:rFonts w:hint="eastAsia" w:ascii="宋体" w:hAnsi="宋体"/>
        <w:bCs/>
        <w:sz w:val="21"/>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3580E"/>
    <w:multiLevelType w:val="multilevel"/>
    <w:tmpl w:val="0033580E"/>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
    <w:nsid w:val="00881230"/>
    <w:multiLevelType w:val="multilevel"/>
    <w:tmpl w:val="00881230"/>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2">
    <w:nsid w:val="00B7207F"/>
    <w:multiLevelType w:val="multilevel"/>
    <w:tmpl w:val="00B7207F"/>
    <w:lvl w:ilvl="0" w:tentative="0">
      <w:start w:val="1"/>
      <w:numFmt w:val="decimal"/>
      <w:lvlText w:val="%1)"/>
      <w:lvlJc w:val="left"/>
      <w:pPr>
        <w:ind w:left="420" w:firstLine="0"/>
      </w:pPr>
      <w:rPr>
        <w:rFonts w:hint="eastAsia"/>
        <w:b/>
        <w:i w:val="0"/>
      </w:rPr>
    </w:lvl>
    <w:lvl w:ilvl="1" w:tentative="0">
      <w:start w:val="1"/>
      <w:numFmt w:val="decimal"/>
      <w:lvlText w:val="%2."/>
      <w:lvlJc w:val="left"/>
      <w:pPr>
        <w:tabs>
          <w:tab w:val="left" w:pos="704"/>
        </w:tabs>
        <w:ind w:left="420" w:firstLine="284"/>
      </w:pPr>
      <w:rPr>
        <w:rFonts w:hint="eastAsia"/>
        <w:b/>
        <w:i w:val="0"/>
      </w:rPr>
    </w:lvl>
    <w:lvl w:ilvl="2" w:tentative="0">
      <w:start w:val="1"/>
      <w:numFmt w:val="decimal"/>
      <w:lvlText w:val="%3）"/>
      <w:lvlJc w:val="left"/>
      <w:pPr>
        <w:tabs>
          <w:tab w:val="left" w:pos="1271"/>
        </w:tabs>
        <w:ind w:left="420" w:firstLine="567"/>
      </w:pPr>
      <w:rPr>
        <w:rFonts w:hint="eastAsia"/>
        <w:b/>
        <w:i w:val="0"/>
      </w:rPr>
    </w:lvl>
    <w:lvl w:ilvl="3" w:tentative="0">
      <w:start w:val="1"/>
      <w:numFmt w:val="lowerLetter"/>
      <w:lvlText w:val="%4)"/>
      <w:lvlJc w:val="left"/>
      <w:pPr>
        <w:ind w:left="420" w:firstLine="851"/>
      </w:pPr>
      <w:rPr>
        <w:rFonts w:hint="eastAsia"/>
        <w:b/>
        <w:i w:val="0"/>
      </w:rPr>
    </w:lvl>
    <w:lvl w:ilvl="4" w:tentative="0">
      <w:start w:val="1"/>
      <w:numFmt w:val="lowerRoman"/>
      <w:lvlText w:val="%5)"/>
      <w:lvlJc w:val="left"/>
      <w:pPr>
        <w:ind w:left="420" w:firstLine="1134"/>
      </w:pPr>
      <w:rPr>
        <w:rFonts w:hint="eastAsia"/>
        <w:b/>
        <w:i w:val="0"/>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0B40597C"/>
    <w:multiLevelType w:val="multilevel"/>
    <w:tmpl w:val="0B40597C"/>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4">
    <w:nsid w:val="0F642E72"/>
    <w:multiLevelType w:val="multilevel"/>
    <w:tmpl w:val="0F642E72"/>
    <w:lvl w:ilvl="0" w:tentative="0">
      <w:start w:val="1"/>
      <w:numFmt w:val="decimal"/>
      <w:lvlText w:val="%1."/>
      <w:lvlJc w:val="left"/>
      <w:pPr>
        <w:ind w:left="0" w:firstLine="0"/>
      </w:pPr>
      <w:rPr>
        <w:rFonts w:hint="default"/>
        <w:b/>
        <w:i w:val="0"/>
        <w:color w:val="auto"/>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111875F9"/>
    <w:multiLevelType w:val="multilevel"/>
    <w:tmpl w:val="111875F9"/>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6">
    <w:nsid w:val="131D7962"/>
    <w:multiLevelType w:val="multilevel"/>
    <w:tmpl w:val="131D7962"/>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3387827"/>
    <w:multiLevelType w:val="multilevel"/>
    <w:tmpl w:val="13387827"/>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7820E98"/>
    <w:multiLevelType w:val="multilevel"/>
    <w:tmpl w:val="17820E98"/>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9">
    <w:nsid w:val="243A6BD0"/>
    <w:multiLevelType w:val="multilevel"/>
    <w:tmpl w:val="243A6BD0"/>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2D1D5E64"/>
    <w:multiLevelType w:val="multilevel"/>
    <w:tmpl w:val="2D1D5E64"/>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11">
    <w:nsid w:val="3622786C"/>
    <w:multiLevelType w:val="multilevel"/>
    <w:tmpl w:val="3622786C"/>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3EAF0586"/>
    <w:multiLevelType w:val="multilevel"/>
    <w:tmpl w:val="3EAF0586"/>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54951C2F"/>
    <w:multiLevelType w:val="multilevel"/>
    <w:tmpl w:val="54951C2F"/>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4">
    <w:nsid w:val="550BC8DD"/>
    <w:multiLevelType w:val="multilevel"/>
    <w:tmpl w:val="550BC8DD"/>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62622446"/>
    <w:multiLevelType w:val="multilevel"/>
    <w:tmpl w:val="62622446"/>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6">
    <w:nsid w:val="64944B61"/>
    <w:multiLevelType w:val="multilevel"/>
    <w:tmpl w:val="64944B61"/>
    <w:lvl w:ilvl="0" w:tentative="0">
      <w:start w:val="1"/>
      <w:numFmt w:val="decimal"/>
      <w:lvlText w:val="%1)"/>
      <w:lvlJc w:val="left"/>
      <w:pPr>
        <w:ind w:left="420" w:firstLine="0"/>
      </w:pPr>
      <w:rPr>
        <w:rFonts w:hint="eastAsia"/>
        <w:b/>
        <w:i w:val="0"/>
      </w:rPr>
    </w:lvl>
    <w:lvl w:ilvl="1" w:tentative="0">
      <w:start w:val="1"/>
      <w:numFmt w:val="decimal"/>
      <w:lvlText w:val="%2."/>
      <w:lvlJc w:val="left"/>
      <w:pPr>
        <w:tabs>
          <w:tab w:val="left" w:pos="704"/>
        </w:tabs>
        <w:ind w:left="420" w:firstLine="284"/>
      </w:pPr>
      <w:rPr>
        <w:rFonts w:hint="eastAsia"/>
        <w:b/>
        <w:i w:val="0"/>
      </w:rPr>
    </w:lvl>
    <w:lvl w:ilvl="2" w:tentative="0">
      <w:start w:val="1"/>
      <w:numFmt w:val="decimal"/>
      <w:lvlText w:val="%3）"/>
      <w:lvlJc w:val="left"/>
      <w:pPr>
        <w:tabs>
          <w:tab w:val="left" w:pos="1271"/>
        </w:tabs>
        <w:ind w:left="420" w:firstLine="567"/>
      </w:pPr>
      <w:rPr>
        <w:rFonts w:hint="eastAsia"/>
        <w:b/>
        <w:i w:val="0"/>
      </w:rPr>
    </w:lvl>
    <w:lvl w:ilvl="3" w:tentative="0">
      <w:start w:val="1"/>
      <w:numFmt w:val="lowerLetter"/>
      <w:lvlText w:val="%4)"/>
      <w:lvlJc w:val="left"/>
      <w:pPr>
        <w:ind w:left="420" w:firstLine="851"/>
      </w:pPr>
      <w:rPr>
        <w:rFonts w:hint="eastAsia"/>
        <w:b/>
        <w:i w:val="0"/>
      </w:rPr>
    </w:lvl>
    <w:lvl w:ilvl="4" w:tentative="0">
      <w:start w:val="1"/>
      <w:numFmt w:val="lowerRoman"/>
      <w:lvlText w:val="%5)"/>
      <w:lvlJc w:val="left"/>
      <w:pPr>
        <w:ind w:left="420" w:firstLine="1134"/>
      </w:pPr>
      <w:rPr>
        <w:rFonts w:hint="eastAsia"/>
        <w:b/>
        <w:i w:val="0"/>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7">
    <w:nsid w:val="6AAF1066"/>
    <w:multiLevelType w:val="multilevel"/>
    <w:tmpl w:val="6AAF1066"/>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8">
    <w:nsid w:val="76FF666C"/>
    <w:multiLevelType w:val="multilevel"/>
    <w:tmpl w:val="76FF666C"/>
    <w:lvl w:ilvl="0" w:tentative="0">
      <w:start w:val="1"/>
      <w:numFmt w:val="decimalEnclosedCircle"/>
      <w:lvlText w:val="%1"/>
      <w:lvlJc w:val="left"/>
      <w:pPr>
        <w:ind w:left="1494" w:hanging="360"/>
      </w:pPr>
      <w:rPr>
        <w:rFonts w:hint="default"/>
        <w:b w:val="0"/>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9">
    <w:nsid w:val="7F960032"/>
    <w:multiLevelType w:val="multilevel"/>
    <w:tmpl w:val="7F960032"/>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7FDF621E"/>
    <w:multiLevelType w:val="multilevel"/>
    <w:tmpl w:val="7FDF621E"/>
    <w:lvl w:ilvl="0" w:tentative="0">
      <w:start w:val="1"/>
      <w:numFmt w:val="lowerLetter"/>
      <w:lvlText w:val="%1)"/>
      <w:lvlJc w:val="left"/>
      <w:pPr>
        <w:ind w:left="840" w:firstLine="0"/>
      </w:pPr>
      <w:rPr>
        <w:rFonts w:hint="default"/>
        <w:b w:val="0"/>
        <w:bCs/>
        <w:i w:val="0"/>
        <w:color w:val="auto"/>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num w:numId="1">
    <w:abstractNumId w:val="14"/>
  </w:num>
  <w:num w:numId="2">
    <w:abstractNumId w:val="7"/>
  </w:num>
  <w:num w:numId="3">
    <w:abstractNumId w:val="19"/>
  </w:num>
  <w:num w:numId="4">
    <w:abstractNumId w:val="2"/>
  </w:num>
  <w:num w:numId="5">
    <w:abstractNumId w:val="20"/>
  </w:num>
  <w:num w:numId="6">
    <w:abstractNumId w:val="1"/>
  </w:num>
  <w:num w:numId="7">
    <w:abstractNumId w:val="11"/>
  </w:num>
  <w:num w:numId="8">
    <w:abstractNumId w:val="16"/>
  </w:num>
  <w:num w:numId="9">
    <w:abstractNumId w:val="6"/>
  </w:num>
  <w:num w:numId="10">
    <w:abstractNumId w:val="3"/>
  </w:num>
  <w:num w:numId="11">
    <w:abstractNumId w:val="8"/>
  </w:num>
  <w:num w:numId="12">
    <w:abstractNumId w:val="0"/>
  </w:num>
  <w:num w:numId="13">
    <w:abstractNumId w:val="15"/>
  </w:num>
  <w:num w:numId="14">
    <w:abstractNumId w:val="18"/>
  </w:num>
  <w:num w:numId="15">
    <w:abstractNumId w:val="13"/>
  </w:num>
  <w:num w:numId="16">
    <w:abstractNumId w:val="12"/>
  </w:num>
  <w:num w:numId="17">
    <w:abstractNumId w:val="10"/>
  </w:num>
  <w:num w:numId="18">
    <w:abstractNumId w:val="5"/>
  </w:num>
  <w:num w:numId="19">
    <w:abstractNumId w:val="17"/>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0"/>
  <w:bordersDoNotSurroundFooter w:val="0"/>
  <w:trackRevisions w:val="1"/>
  <w:documentProtection w:edit="readOnly" w:enforcement="1" w:cryptProviderType="rsaFull" w:cryptAlgorithmClass="hash" w:cryptAlgorithmType="typeAny" w:cryptAlgorithmSid="4" w:cryptSpinCount="0" w:hash="tpvIrtJ9lS7ofodtkTxLBDwVqzE=" w:salt="+mCAGph3qfCjAiiQGFhXp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hM2RlMTc1NmYyNDJiNWE5Njg4NTk4YTMzZTkxNmEifQ=="/>
  </w:docVars>
  <w:rsids>
    <w:rsidRoot w:val="00172A27"/>
    <w:rsid w:val="0000675D"/>
    <w:rsid w:val="000606B0"/>
    <w:rsid w:val="00070FD8"/>
    <w:rsid w:val="00072729"/>
    <w:rsid w:val="0007514D"/>
    <w:rsid w:val="0008788C"/>
    <w:rsid w:val="000968C8"/>
    <w:rsid w:val="000D592D"/>
    <w:rsid w:val="000F6CD1"/>
    <w:rsid w:val="000F7760"/>
    <w:rsid w:val="00126629"/>
    <w:rsid w:val="001278C3"/>
    <w:rsid w:val="00146874"/>
    <w:rsid w:val="001475FA"/>
    <w:rsid w:val="0015168A"/>
    <w:rsid w:val="00161EA0"/>
    <w:rsid w:val="00172A27"/>
    <w:rsid w:val="001768C1"/>
    <w:rsid w:val="001C6352"/>
    <w:rsid w:val="001C6931"/>
    <w:rsid w:val="001D5B3C"/>
    <w:rsid w:val="001E14BD"/>
    <w:rsid w:val="001E426E"/>
    <w:rsid w:val="002020E7"/>
    <w:rsid w:val="00240C6D"/>
    <w:rsid w:val="00275FEE"/>
    <w:rsid w:val="00292CFA"/>
    <w:rsid w:val="002A2DF2"/>
    <w:rsid w:val="002B69ED"/>
    <w:rsid w:val="002B6C30"/>
    <w:rsid w:val="003128C1"/>
    <w:rsid w:val="00314B9A"/>
    <w:rsid w:val="00323317"/>
    <w:rsid w:val="00340260"/>
    <w:rsid w:val="00340B14"/>
    <w:rsid w:val="00352438"/>
    <w:rsid w:val="003738CB"/>
    <w:rsid w:val="0039019C"/>
    <w:rsid w:val="00397AB7"/>
    <w:rsid w:val="003B33D9"/>
    <w:rsid w:val="003B7E40"/>
    <w:rsid w:val="003C5847"/>
    <w:rsid w:val="003D14B5"/>
    <w:rsid w:val="003D51B6"/>
    <w:rsid w:val="003F1E99"/>
    <w:rsid w:val="00467AD2"/>
    <w:rsid w:val="004755DD"/>
    <w:rsid w:val="00486A38"/>
    <w:rsid w:val="00495511"/>
    <w:rsid w:val="004B56B4"/>
    <w:rsid w:val="004D505D"/>
    <w:rsid w:val="004E6A9D"/>
    <w:rsid w:val="004F3F01"/>
    <w:rsid w:val="005030AB"/>
    <w:rsid w:val="00503C81"/>
    <w:rsid w:val="00510CAC"/>
    <w:rsid w:val="00542C09"/>
    <w:rsid w:val="0054619D"/>
    <w:rsid w:val="00555CEA"/>
    <w:rsid w:val="00565B17"/>
    <w:rsid w:val="005A573C"/>
    <w:rsid w:val="005D2F1B"/>
    <w:rsid w:val="005E24D8"/>
    <w:rsid w:val="0060043C"/>
    <w:rsid w:val="00615931"/>
    <w:rsid w:val="00625A4A"/>
    <w:rsid w:val="00633118"/>
    <w:rsid w:val="006354EA"/>
    <w:rsid w:val="00636D6F"/>
    <w:rsid w:val="00644D07"/>
    <w:rsid w:val="00660E18"/>
    <w:rsid w:val="006B0138"/>
    <w:rsid w:val="006D5FBD"/>
    <w:rsid w:val="006F2114"/>
    <w:rsid w:val="00705B8D"/>
    <w:rsid w:val="00723069"/>
    <w:rsid w:val="007421EF"/>
    <w:rsid w:val="00745C7C"/>
    <w:rsid w:val="00750990"/>
    <w:rsid w:val="00765842"/>
    <w:rsid w:val="00785D2F"/>
    <w:rsid w:val="00796957"/>
    <w:rsid w:val="007B211C"/>
    <w:rsid w:val="0081601B"/>
    <w:rsid w:val="00827B3B"/>
    <w:rsid w:val="008331A8"/>
    <w:rsid w:val="00843432"/>
    <w:rsid w:val="00856142"/>
    <w:rsid w:val="00860289"/>
    <w:rsid w:val="00865048"/>
    <w:rsid w:val="00866ECF"/>
    <w:rsid w:val="00887847"/>
    <w:rsid w:val="00894297"/>
    <w:rsid w:val="008C3A44"/>
    <w:rsid w:val="008E1779"/>
    <w:rsid w:val="0091288F"/>
    <w:rsid w:val="00915418"/>
    <w:rsid w:val="0092196F"/>
    <w:rsid w:val="00935BD4"/>
    <w:rsid w:val="00935EDC"/>
    <w:rsid w:val="0094137B"/>
    <w:rsid w:val="00941B14"/>
    <w:rsid w:val="00945252"/>
    <w:rsid w:val="00952BF7"/>
    <w:rsid w:val="00955E75"/>
    <w:rsid w:val="00971F88"/>
    <w:rsid w:val="009810BB"/>
    <w:rsid w:val="00992A35"/>
    <w:rsid w:val="009B4C45"/>
    <w:rsid w:val="009C15F6"/>
    <w:rsid w:val="009D5893"/>
    <w:rsid w:val="009E18DA"/>
    <w:rsid w:val="009F19FC"/>
    <w:rsid w:val="00A12AE2"/>
    <w:rsid w:val="00A20C8D"/>
    <w:rsid w:val="00A405EE"/>
    <w:rsid w:val="00A4457F"/>
    <w:rsid w:val="00A74D69"/>
    <w:rsid w:val="00A94B43"/>
    <w:rsid w:val="00B01319"/>
    <w:rsid w:val="00B043E4"/>
    <w:rsid w:val="00B44AAC"/>
    <w:rsid w:val="00B74B3B"/>
    <w:rsid w:val="00B81965"/>
    <w:rsid w:val="00BA1A66"/>
    <w:rsid w:val="00BB3FE5"/>
    <w:rsid w:val="00BC40A8"/>
    <w:rsid w:val="00BE24BE"/>
    <w:rsid w:val="00BF3FFE"/>
    <w:rsid w:val="00C13775"/>
    <w:rsid w:val="00C165C3"/>
    <w:rsid w:val="00C20508"/>
    <w:rsid w:val="00C233D5"/>
    <w:rsid w:val="00C266A7"/>
    <w:rsid w:val="00C563BC"/>
    <w:rsid w:val="00C62956"/>
    <w:rsid w:val="00C66B18"/>
    <w:rsid w:val="00C86CA1"/>
    <w:rsid w:val="00C94A27"/>
    <w:rsid w:val="00C96EA4"/>
    <w:rsid w:val="00CA17F0"/>
    <w:rsid w:val="00CB5CFB"/>
    <w:rsid w:val="00CC547F"/>
    <w:rsid w:val="00CC6B92"/>
    <w:rsid w:val="00CD0933"/>
    <w:rsid w:val="00CF2B36"/>
    <w:rsid w:val="00D22ECE"/>
    <w:rsid w:val="00D30E8A"/>
    <w:rsid w:val="00D324B9"/>
    <w:rsid w:val="00D44D36"/>
    <w:rsid w:val="00D61689"/>
    <w:rsid w:val="00D877F7"/>
    <w:rsid w:val="00DC2CB0"/>
    <w:rsid w:val="00DD4026"/>
    <w:rsid w:val="00DF065C"/>
    <w:rsid w:val="00DF1F0E"/>
    <w:rsid w:val="00DF55C3"/>
    <w:rsid w:val="00DF5BCE"/>
    <w:rsid w:val="00E2432E"/>
    <w:rsid w:val="00E35754"/>
    <w:rsid w:val="00E574A6"/>
    <w:rsid w:val="00E63509"/>
    <w:rsid w:val="00E95E15"/>
    <w:rsid w:val="00EA7243"/>
    <w:rsid w:val="00EE7487"/>
    <w:rsid w:val="00EF58AB"/>
    <w:rsid w:val="00EF6F3A"/>
    <w:rsid w:val="00F04FC3"/>
    <w:rsid w:val="00F05CE7"/>
    <w:rsid w:val="00F35B53"/>
    <w:rsid w:val="00F405A9"/>
    <w:rsid w:val="00F859E7"/>
    <w:rsid w:val="00F91395"/>
    <w:rsid w:val="00F913A0"/>
    <w:rsid w:val="00FA3E76"/>
    <w:rsid w:val="00FD3F76"/>
    <w:rsid w:val="00FD6E01"/>
    <w:rsid w:val="00FE1A6F"/>
    <w:rsid w:val="033B1A58"/>
    <w:rsid w:val="043B46D3"/>
    <w:rsid w:val="0566461B"/>
    <w:rsid w:val="062210BE"/>
    <w:rsid w:val="088562F1"/>
    <w:rsid w:val="09C67499"/>
    <w:rsid w:val="0BA90D4F"/>
    <w:rsid w:val="0C226679"/>
    <w:rsid w:val="0E57474D"/>
    <w:rsid w:val="0E75192F"/>
    <w:rsid w:val="0ECC1113"/>
    <w:rsid w:val="0F581422"/>
    <w:rsid w:val="106E4762"/>
    <w:rsid w:val="12157549"/>
    <w:rsid w:val="12BE1B98"/>
    <w:rsid w:val="16626E3D"/>
    <w:rsid w:val="17D3393A"/>
    <w:rsid w:val="18F13976"/>
    <w:rsid w:val="19636CD6"/>
    <w:rsid w:val="19AA7C33"/>
    <w:rsid w:val="1B274A53"/>
    <w:rsid w:val="1D320AC2"/>
    <w:rsid w:val="1D685E42"/>
    <w:rsid w:val="1E3D6E39"/>
    <w:rsid w:val="1F0C211A"/>
    <w:rsid w:val="1FF76AFF"/>
    <w:rsid w:val="20364844"/>
    <w:rsid w:val="20663B3B"/>
    <w:rsid w:val="20A65B05"/>
    <w:rsid w:val="228B0399"/>
    <w:rsid w:val="235C5561"/>
    <w:rsid w:val="24067DF6"/>
    <w:rsid w:val="24B21AEA"/>
    <w:rsid w:val="266B1B64"/>
    <w:rsid w:val="28765075"/>
    <w:rsid w:val="29365CAD"/>
    <w:rsid w:val="2AF5298D"/>
    <w:rsid w:val="2BCC070B"/>
    <w:rsid w:val="2C357807"/>
    <w:rsid w:val="2CE54FA1"/>
    <w:rsid w:val="2CF80A1D"/>
    <w:rsid w:val="2DA15527"/>
    <w:rsid w:val="2E906758"/>
    <w:rsid w:val="2EB20B54"/>
    <w:rsid w:val="300375D5"/>
    <w:rsid w:val="311031B5"/>
    <w:rsid w:val="32DF180F"/>
    <w:rsid w:val="33620057"/>
    <w:rsid w:val="34884A19"/>
    <w:rsid w:val="34C40ED9"/>
    <w:rsid w:val="35132F06"/>
    <w:rsid w:val="36CE4790"/>
    <w:rsid w:val="3812142A"/>
    <w:rsid w:val="381C20D2"/>
    <w:rsid w:val="383A549D"/>
    <w:rsid w:val="39813A57"/>
    <w:rsid w:val="3AB977F3"/>
    <w:rsid w:val="3B037DE6"/>
    <w:rsid w:val="3B144827"/>
    <w:rsid w:val="3C8A55D6"/>
    <w:rsid w:val="3F4F6943"/>
    <w:rsid w:val="407A208B"/>
    <w:rsid w:val="40A610D2"/>
    <w:rsid w:val="41A575DC"/>
    <w:rsid w:val="43095949"/>
    <w:rsid w:val="43EF4B3E"/>
    <w:rsid w:val="44112D07"/>
    <w:rsid w:val="44EB106A"/>
    <w:rsid w:val="45595C53"/>
    <w:rsid w:val="45A928AE"/>
    <w:rsid w:val="47071FF2"/>
    <w:rsid w:val="47402BAD"/>
    <w:rsid w:val="475848B4"/>
    <w:rsid w:val="47D366E9"/>
    <w:rsid w:val="48A453A1"/>
    <w:rsid w:val="4A14129F"/>
    <w:rsid w:val="4B0B5BC5"/>
    <w:rsid w:val="4DCC73B8"/>
    <w:rsid w:val="51ED153B"/>
    <w:rsid w:val="522C3AD3"/>
    <w:rsid w:val="52977F3F"/>
    <w:rsid w:val="551F2346"/>
    <w:rsid w:val="565902BA"/>
    <w:rsid w:val="56590DEF"/>
    <w:rsid w:val="56ED13B1"/>
    <w:rsid w:val="58EC7A42"/>
    <w:rsid w:val="5AAF30B0"/>
    <w:rsid w:val="5C635254"/>
    <w:rsid w:val="5D8418CC"/>
    <w:rsid w:val="615D7DAA"/>
    <w:rsid w:val="624F4CCE"/>
    <w:rsid w:val="637B6828"/>
    <w:rsid w:val="647F5AFE"/>
    <w:rsid w:val="676247C5"/>
    <w:rsid w:val="68320B12"/>
    <w:rsid w:val="68C1301D"/>
    <w:rsid w:val="693872B5"/>
    <w:rsid w:val="6A121289"/>
    <w:rsid w:val="6A801F5D"/>
    <w:rsid w:val="6B573D7E"/>
    <w:rsid w:val="6C762E7E"/>
    <w:rsid w:val="6CBF3B74"/>
    <w:rsid w:val="6DA75FBD"/>
    <w:rsid w:val="6F1569D0"/>
    <w:rsid w:val="6FD25FB3"/>
    <w:rsid w:val="711D41EA"/>
    <w:rsid w:val="712D08D1"/>
    <w:rsid w:val="73371CF2"/>
    <w:rsid w:val="7474112B"/>
    <w:rsid w:val="77325E7A"/>
    <w:rsid w:val="78515B49"/>
    <w:rsid w:val="7A1D41A4"/>
    <w:rsid w:val="7A6B6DAC"/>
    <w:rsid w:val="7B1761C7"/>
    <w:rsid w:val="7C86578E"/>
    <w:rsid w:val="7CD633DE"/>
    <w:rsid w:val="7E80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autoRedefine/>
    <w:semiHidden/>
    <w:unhideWhenUsed/>
    <w:qFormat/>
    <w:uiPriority w:val="99"/>
    <w:rPr>
      <w:sz w:val="18"/>
      <w:szCs w:val="18"/>
    </w:rPr>
  </w:style>
  <w:style w:type="paragraph" w:styleId="3">
    <w:name w:val="footer"/>
    <w:basedOn w:val="1"/>
    <w:link w:val="10"/>
    <w:autoRedefine/>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autoRedefine/>
    <w:qFormat/>
    <w:uiPriority w:val="0"/>
  </w:style>
  <w:style w:type="character" w:styleId="8">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9">
    <w:name w:val="页眉 字符"/>
    <w:link w:val="4"/>
    <w:autoRedefine/>
    <w:qFormat/>
    <w:uiPriority w:val="99"/>
    <w:rPr>
      <w:sz w:val="18"/>
      <w:szCs w:val="18"/>
    </w:rPr>
  </w:style>
  <w:style w:type="character" w:customStyle="1" w:styleId="10">
    <w:name w:val="页脚 字符"/>
    <w:link w:val="3"/>
    <w:autoRedefine/>
    <w:qFormat/>
    <w:uiPriority w:val="99"/>
    <w:rPr>
      <w:sz w:val="18"/>
      <w:szCs w:val="18"/>
    </w:rPr>
  </w:style>
  <w:style w:type="character" w:customStyle="1" w:styleId="11">
    <w:name w:val="页眉 Char"/>
    <w:basedOn w:val="6"/>
    <w:autoRedefine/>
    <w:semiHidden/>
    <w:qFormat/>
    <w:uiPriority w:val="99"/>
    <w:rPr>
      <w:rFonts w:ascii="Times New Roman" w:hAnsi="Times New Roman" w:eastAsia="宋体" w:cs="Times New Roman"/>
      <w:sz w:val="18"/>
      <w:szCs w:val="18"/>
    </w:rPr>
  </w:style>
  <w:style w:type="character" w:customStyle="1" w:styleId="12">
    <w:name w:val="页脚 Char"/>
    <w:basedOn w:val="6"/>
    <w:autoRedefine/>
    <w:semiHidden/>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字符"/>
    <w:basedOn w:val="6"/>
    <w:link w:val="2"/>
    <w:autoRedefine/>
    <w:semiHidden/>
    <w:qFormat/>
    <w:uiPriority w:val="99"/>
    <w:rPr>
      <w:rFonts w:ascii="Times New Roman" w:hAnsi="Times New Roman" w:eastAsia="宋体" w:cs="Times New Roman"/>
      <w:sz w:val="18"/>
      <w:szCs w:val="18"/>
    </w:rPr>
  </w:style>
  <w:style w:type="paragraph" w:customStyle="1" w:styleId="15">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8221</Words>
  <Characters>8853</Characters>
  <Lines>75</Lines>
  <Paragraphs>21</Paragraphs>
  <TotalTime>13</TotalTime>
  <ScaleCrop>false</ScaleCrop>
  <LinksUpToDate>false</LinksUpToDate>
  <CharactersWithSpaces>10761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2025-12-12T13:42:00Z</dcterms:created>
  <dc:creator>张小伟</dc:creator>
  <cp:lastModifiedBy>YitongLiu(刘艺童)</cp:lastModifiedBy>
  <dcterms:modified xsi:type="dcterms:W3CDTF">2026-02-13T07:27:23Z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50A7DD8C5215424DA6E52D9D347B0CDC_13</vt:lpwstr>
  </property>
  <property fmtid="{D5CDD505-2E9C-101B-9397-08002B2CF9AE}" pid="4" name="KSOTemplateDocerSaveRecord">
    <vt:lpwstr>eyJoZGlkIjoiZTNlODljYmVmYzM1NzNmMzA5YTg5NWM0NDZmMmZkMDEiLCJ1c2VySWQiOiIzNTU5NTQ0NjIifQ==</vt:lpwstr>
  </property>
</Properties>
</file>